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F0442" w14:textId="77777777" w:rsidR="00FE355A" w:rsidRPr="001724A0" w:rsidRDefault="00FE355A" w:rsidP="00FE355A">
      <w:pPr>
        <w:jc w:val="right"/>
        <w:rPr>
          <w:rFonts w:eastAsiaTheme="minorHAnsi" w:cs="Arial"/>
        </w:rPr>
      </w:pPr>
      <w:r w:rsidRPr="001724A0">
        <w:rPr>
          <w:rFonts w:eastAsiaTheme="minorHAnsi" w:cs="Arial"/>
          <w:noProof/>
          <w:lang w:eastAsia="en-GB"/>
        </w:rPr>
        <w:drawing>
          <wp:inline distT="0" distB="0" distL="0" distR="0" wp14:anchorId="4E4F0699" wp14:editId="4E4F069A">
            <wp:extent cx="828675" cy="1108962"/>
            <wp:effectExtent l="0" t="0" r="0" b="0"/>
            <wp:docPr id="1" name="Picture 1" descr="http://occweb/intranet/sites/default/files/documents/575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ccweb/intranet/sites/default/files/documents/5752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8675" cy="1108962"/>
                    </a:xfrm>
                    <a:prstGeom prst="rect">
                      <a:avLst/>
                    </a:prstGeom>
                    <a:noFill/>
                    <a:ln>
                      <a:noFill/>
                    </a:ln>
                  </pic:spPr>
                </pic:pic>
              </a:graphicData>
            </a:graphic>
          </wp:inline>
        </w:drawing>
      </w:r>
    </w:p>
    <w:p w14:paraId="4E4F0443" w14:textId="77777777" w:rsidR="00FE355A" w:rsidRPr="001724A0" w:rsidRDefault="00FE355A" w:rsidP="00FE355A">
      <w:pPr>
        <w:pBdr>
          <w:bottom w:val="single" w:sz="4" w:space="1" w:color="auto"/>
        </w:pBdr>
        <w:rPr>
          <w:rFonts w:eastAsiaTheme="minorHAnsi" w:cs="Arial"/>
        </w:rPr>
      </w:pPr>
    </w:p>
    <w:p w14:paraId="4E4F0444" w14:textId="77777777" w:rsidR="00FE355A" w:rsidRPr="001724A0" w:rsidRDefault="00FE355A" w:rsidP="00FE355A">
      <w:pPr>
        <w:rPr>
          <w:rFonts w:eastAsiaTheme="minorHAnsi" w:cs="Arial"/>
        </w:rPr>
      </w:pPr>
    </w:p>
    <w:p w14:paraId="4E4F0445" w14:textId="77777777" w:rsidR="00985BEF" w:rsidRPr="001724A0" w:rsidRDefault="008C45E6" w:rsidP="00FE355A">
      <w:pPr>
        <w:keepNext/>
        <w:keepLines/>
        <w:spacing w:before="240" w:line="276" w:lineRule="auto"/>
        <w:jc w:val="center"/>
        <w:rPr>
          <w:rFonts w:eastAsia="MS Gothic" w:cs="Arial"/>
          <w:b/>
          <w:bCs/>
          <w:sz w:val="32"/>
          <w:szCs w:val="32"/>
          <w:lang w:val="en-US" w:eastAsia="ja-JP"/>
        </w:rPr>
      </w:pPr>
      <w:r w:rsidRPr="001724A0">
        <w:rPr>
          <w:rFonts w:eastAsia="MS Gothic" w:cs="Arial"/>
          <w:b/>
          <w:bCs/>
          <w:sz w:val="32"/>
          <w:szCs w:val="32"/>
          <w:lang w:val="en-US" w:eastAsia="ja-JP"/>
        </w:rPr>
        <w:t>Anti-Money</w:t>
      </w:r>
      <w:r w:rsidR="00985BEF" w:rsidRPr="001724A0">
        <w:rPr>
          <w:rFonts w:eastAsia="MS Gothic" w:cs="Arial"/>
          <w:b/>
          <w:bCs/>
          <w:sz w:val="32"/>
          <w:szCs w:val="32"/>
          <w:lang w:val="en-US" w:eastAsia="ja-JP"/>
        </w:rPr>
        <w:t xml:space="preserve"> Laundering </w:t>
      </w:r>
    </w:p>
    <w:p w14:paraId="4E4F0446" w14:textId="77777777" w:rsidR="00FE355A" w:rsidRPr="001724A0" w:rsidRDefault="00FE355A" w:rsidP="00FE355A">
      <w:pPr>
        <w:keepNext/>
        <w:keepLines/>
        <w:spacing w:before="240" w:line="276" w:lineRule="auto"/>
        <w:jc w:val="center"/>
        <w:rPr>
          <w:rFonts w:eastAsia="MS Gothic" w:cs="Arial"/>
          <w:b/>
          <w:bCs/>
          <w:sz w:val="32"/>
          <w:szCs w:val="32"/>
          <w:lang w:val="en-US" w:eastAsia="ja-JP"/>
        </w:rPr>
      </w:pPr>
      <w:r w:rsidRPr="001724A0">
        <w:rPr>
          <w:rFonts w:eastAsia="MS Gothic" w:cs="Arial"/>
          <w:b/>
          <w:bCs/>
          <w:sz w:val="32"/>
          <w:szCs w:val="32"/>
          <w:lang w:val="en-US" w:eastAsia="ja-JP"/>
        </w:rPr>
        <w:t>Policy &amp; Procedures</w:t>
      </w:r>
    </w:p>
    <w:p w14:paraId="4E4F0447" w14:textId="77777777" w:rsidR="00826CA0" w:rsidRPr="001724A0" w:rsidRDefault="00826CA0" w:rsidP="00826CA0">
      <w:pPr>
        <w:autoSpaceDE w:val="0"/>
        <w:autoSpaceDN w:val="0"/>
        <w:adjustRightInd w:val="0"/>
        <w:rPr>
          <w:rFonts w:cs="Arial"/>
          <w:b/>
          <w:lang w:val="en-US"/>
        </w:rPr>
      </w:pPr>
    </w:p>
    <w:tbl>
      <w:tblPr>
        <w:tblW w:w="0" w:type="auto"/>
        <w:tblInd w:w="828" w:type="dxa"/>
        <w:tblLayout w:type="fixed"/>
        <w:tblLook w:val="0000" w:firstRow="0" w:lastRow="0" w:firstColumn="0" w:lastColumn="0" w:noHBand="0" w:noVBand="0"/>
      </w:tblPr>
      <w:tblGrid>
        <w:gridCol w:w="2520"/>
        <w:gridCol w:w="5265"/>
      </w:tblGrid>
      <w:tr w:rsidR="00826CA0" w:rsidRPr="001724A0" w14:paraId="4E4F044A" w14:textId="77777777" w:rsidTr="000B5DF8">
        <w:trPr>
          <w:trHeight w:val="305"/>
        </w:trPr>
        <w:tc>
          <w:tcPr>
            <w:tcW w:w="2520" w:type="dxa"/>
            <w:tcBorders>
              <w:top w:val="single" w:sz="4" w:space="0" w:color="000000"/>
              <w:left w:val="single" w:sz="4" w:space="0" w:color="000000"/>
              <w:bottom w:val="single" w:sz="4" w:space="0" w:color="000000"/>
              <w:right w:val="single" w:sz="4" w:space="0" w:color="000000"/>
            </w:tcBorders>
            <w:vAlign w:val="center"/>
          </w:tcPr>
          <w:p w14:paraId="4E4F0448" w14:textId="77777777" w:rsidR="00826CA0" w:rsidRPr="001724A0" w:rsidRDefault="00826CA0" w:rsidP="00C32650">
            <w:pPr>
              <w:autoSpaceDE w:val="0"/>
              <w:autoSpaceDN w:val="0"/>
              <w:adjustRightInd w:val="0"/>
              <w:rPr>
                <w:rFonts w:cs="Arial"/>
                <w:lang w:val="en-US"/>
              </w:rPr>
            </w:pPr>
            <w:r w:rsidRPr="001724A0">
              <w:rPr>
                <w:rFonts w:cs="Arial"/>
                <w:b/>
                <w:bCs/>
                <w:lang w:val="en-US"/>
              </w:rPr>
              <w:t xml:space="preserve">Owner </w:t>
            </w:r>
          </w:p>
        </w:tc>
        <w:tc>
          <w:tcPr>
            <w:tcW w:w="5265" w:type="dxa"/>
            <w:tcBorders>
              <w:top w:val="single" w:sz="4" w:space="0" w:color="000000"/>
              <w:left w:val="single" w:sz="4" w:space="0" w:color="000000"/>
              <w:bottom w:val="single" w:sz="4" w:space="0" w:color="000000"/>
              <w:right w:val="single" w:sz="4" w:space="0" w:color="000000"/>
            </w:tcBorders>
            <w:vAlign w:val="center"/>
          </w:tcPr>
          <w:p w14:paraId="4E4F0449" w14:textId="77777777" w:rsidR="00826CA0" w:rsidRPr="001724A0" w:rsidRDefault="00B92C82" w:rsidP="00C32650">
            <w:pPr>
              <w:autoSpaceDE w:val="0"/>
              <w:autoSpaceDN w:val="0"/>
              <w:adjustRightInd w:val="0"/>
              <w:rPr>
                <w:rFonts w:cs="Arial"/>
                <w:lang w:val="en-US"/>
              </w:rPr>
            </w:pPr>
            <w:r>
              <w:rPr>
                <w:rFonts w:cs="Arial"/>
                <w:lang w:val="en-US"/>
              </w:rPr>
              <w:t>Scott Warner</w:t>
            </w:r>
          </w:p>
        </w:tc>
      </w:tr>
      <w:tr w:rsidR="00826CA0" w:rsidRPr="001724A0" w14:paraId="4E4F044D" w14:textId="77777777" w:rsidTr="000B5DF8">
        <w:trPr>
          <w:trHeight w:val="305"/>
        </w:trPr>
        <w:tc>
          <w:tcPr>
            <w:tcW w:w="2520" w:type="dxa"/>
            <w:tcBorders>
              <w:top w:val="single" w:sz="4" w:space="0" w:color="000000"/>
              <w:left w:val="single" w:sz="4" w:space="0" w:color="000000"/>
              <w:bottom w:val="single" w:sz="4" w:space="0" w:color="000000"/>
              <w:right w:val="single" w:sz="4" w:space="0" w:color="000000"/>
            </w:tcBorders>
            <w:vAlign w:val="center"/>
          </w:tcPr>
          <w:p w14:paraId="4E4F044B" w14:textId="77777777" w:rsidR="00826CA0" w:rsidRPr="001724A0" w:rsidRDefault="00826CA0" w:rsidP="00C32650">
            <w:pPr>
              <w:autoSpaceDE w:val="0"/>
              <w:autoSpaceDN w:val="0"/>
              <w:adjustRightInd w:val="0"/>
              <w:rPr>
                <w:rFonts w:cs="Arial"/>
                <w:lang w:val="en-US"/>
              </w:rPr>
            </w:pPr>
            <w:r w:rsidRPr="001724A0">
              <w:rPr>
                <w:rFonts w:cs="Arial"/>
                <w:b/>
                <w:bCs/>
                <w:lang w:val="en-US"/>
              </w:rPr>
              <w:t>Author</w:t>
            </w:r>
          </w:p>
        </w:tc>
        <w:tc>
          <w:tcPr>
            <w:tcW w:w="5265" w:type="dxa"/>
            <w:tcBorders>
              <w:top w:val="single" w:sz="4" w:space="0" w:color="000000"/>
              <w:left w:val="single" w:sz="4" w:space="0" w:color="000000"/>
              <w:bottom w:val="single" w:sz="4" w:space="0" w:color="000000"/>
              <w:right w:val="single" w:sz="4" w:space="0" w:color="000000"/>
            </w:tcBorders>
            <w:vAlign w:val="center"/>
          </w:tcPr>
          <w:p w14:paraId="4E4F044C" w14:textId="77777777" w:rsidR="00826CA0" w:rsidRPr="001724A0" w:rsidRDefault="00D86BA3" w:rsidP="00C32650">
            <w:pPr>
              <w:autoSpaceDE w:val="0"/>
              <w:autoSpaceDN w:val="0"/>
              <w:adjustRightInd w:val="0"/>
              <w:rPr>
                <w:rFonts w:cs="Arial"/>
                <w:lang w:val="en-US"/>
              </w:rPr>
            </w:pPr>
            <w:r>
              <w:rPr>
                <w:rFonts w:cs="Arial"/>
                <w:lang w:val="en-US"/>
              </w:rPr>
              <w:t>Scott Warner</w:t>
            </w:r>
          </w:p>
        </w:tc>
      </w:tr>
      <w:tr w:rsidR="00826CA0" w:rsidRPr="001724A0" w14:paraId="4E4F0450" w14:textId="77777777" w:rsidTr="000B5DF8">
        <w:trPr>
          <w:trHeight w:val="305"/>
        </w:trPr>
        <w:tc>
          <w:tcPr>
            <w:tcW w:w="2520" w:type="dxa"/>
            <w:tcBorders>
              <w:top w:val="single" w:sz="4" w:space="0" w:color="000000"/>
              <w:left w:val="single" w:sz="4" w:space="0" w:color="000000"/>
              <w:bottom w:val="single" w:sz="4" w:space="0" w:color="000000"/>
              <w:right w:val="single" w:sz="4" w:space="0" w:color="000000"/>
            </w:tcBorders>
            <w:vAlign w:val="center"/>
          </w:tcPr>
          <w:p w14:paraId="4E4F044E" w14:textId="77777777" w:rsidR="00826CA0" w:rsidRPr="001724A0" w:rsidRDefault="00826CA0" w:rsidP="00C32650">
            <w:pPr>
              <w:autoSpaceDE w:val="0"/>
              <w:autoSpaceDN w:val="0"/>
              <w:adjustRightInd w:val="0"/>
              <w:rPr>
                <w:rFonts w:cs="Arial"/>
                <w:lang w:val="en-US"/>
              </w:rPr>
            </w:pPr>
            <w:r w:rsidRPr="001724A0">
              <w:rPr>
                <w:rFonts w:cs="Arial"/>
                <w:b/>
                <w:bCs/>
                <w:lang w:val="en-US"/>
              </w:rPr>
              <w:t>Date Reviewed</w:t>
            </w:r>
          </w:p>
        </w:tc>
        <w:tc>
          <w:tcPr>
            <w:tcW w:w="5265" w:type="dxa"/>
            <w:tcBorders>
              <w:top w:val="single" w:sz="4" w:space="0" w:color="000000"/>
              <w:left w:val="single" w:sz="4" w:space="0" w:color="000000"/>
              <w:bottom w:val="single" w:sz="4" w:space="0" w:color="000000"/>
              <w:right w:val="single" w:sz="4" w:space="0" w:color="000000"/>
            </w:tcBorders>
            <w:vAlign w:val="center"/>
          </w:tcPr>
          <w:p w14:paraId="4E4F044F" w14:textId="4B118BC1" w:rsidR="00826CA0" w:rsidRPr="001724A0" w:rsidRDefault="004817BA" w:rsidP="00C32650">
            <w:pPr>
              <w:autoSpaceDE w:val="0"/>
              <w:autoSpaceDN w:val="0"/>
              <w:adjustRightInd w:val="0"/>
              <w:rPr>
                <w:rFonts w:cs="Arial"/>
                <w:lang w:val="en-US"/>
              </w:rPr>
            </w:pPr>
            <w:r>
              <w:rPr>
                <w:rFonts w:cs="Arial"/>
                <w:lang w:val="en-US"/>
              </w:rPr>
              <w:t>Decem</w:t>
            </w:r>
            <w:r w:rsidR="00B773DE">
              <w:rPr>
                <w:rFonts w:cs="Arial"/>
                <w:lang w:val="en-US"/>
              </w:rPr>
              <w:t>ber 2024</w:t>
            </w:r>
          </w:p>
        </w:tc>
      </w:tr>
      <w:tr w:rsidR="00826CA0" w:rsidRPr="001724A0" w14:paraId="4E4F0453" w14:textId="77777777" w:rsidTr="000B5DF8">
        <w:trPr>
          <w:trHeight w:val="305"/>
        </w:trPr>
        <w:tc>
          <w:tcPr>
            <w:tcW w:w="2520" w:type="dxa"/>
            <w:tcBorders>
              <w:top w:val="single" w:sz="4" w:space="0" w:color="000000"/>
              <w:left w:val="single" w:sz="4" w:space="0" w:color="000000"/>
              <w:bottom w:val="single" w:sz="4" w:space="0" w:color="000000"/>
              <w:right w:val="single" w:sz="4" w:space="0" w:color="000000"/>
            </w:tcBorders>
            <w:vAlign w:val="center"/>
          </w:tcPr>
          <w:p w14:paraId="4E4F0451" w14:textId="77777777" w:rsidR="00826CA0" w:rsidRPr="001724A0" w:rsidRDefault="00826CA0" w:rsidP="00C32650">
            <w:pPr>
              <w:autoSpaceDE w:val="0"/>
              <w:autoSpaceDN w:val="0"/>
              <w:adjustRightInd w:val="0"/>
              <w:rPr>
                <w:rFonts w:cs="Arial"/>
                <w:lang w:val="en-US"/>
              </w:rPr>
            </w:pPr>
            <w:r w:rsidRPr="001724A0">
              <w:rPr>
                <w:rFonts w:cs="Arial"/>
                <w:b/>
                <w:bCs/>
                <w:lang w:val="en-US"/>
              </w:rPr>
              <w:t xml:space="preserve">Review due </w:t>
            </w:r>
          </w:p>
        </w:tc>
        <w:tc>
          <w:tcPr>
            <w:tcW w:w="5265" w:type="dxa"/>
            <w:tcBorders>
              <w:top w:val="single" w:sz="4" w:space="0" w:color="000000"/>
              <w:left w:val="single" w:sz="4" w:space="0" w:color="000000"/>
              <w:bottom w:val="single" w:sz="4" w:space="0" w:color="000000"/>
              <w:right w:val="single" w:sz="4" w:space="0" w:color="000000"/>
            </w:tcBorders>
            <w:vAlign w:val="center"/>
          </w:tcPr>
          <w:p w14:paraId="4E4F0452" w14:textId="77777777" w:rsidR="00826CA0" w:rsidRPr="001724A0" w:rsidRDefault="00826CA0" w:rsidP="00C32650">
            <w:pPr>
              <w:autoSpaceDE w:val="0"/>
              <w:autoSpaceDN w:val="0"/>
              <w:adjustRightInd w:val="0"/>
              <w:rPr>
                <w:rFonts w:cs="Arial"/>
                <w:lang w:val="en-US"/>
              </w:rPr>
            </w:pPr>
          </w:p>
        </w:tc>
      </w:tr>
      <w:tr w:rsidR="00826CA0" w:rsidRPr="001724A0" w14:paraId="4E4F0456" w14:textId="77777777" w:rsidTr="000B5DF8">
        <w:trPr>
          <w:trHeight w:val="305"/>
        </w:trPr>
        <w:tc>
          <w:tcPr>
            <w:tcW w:w="2520" w:type="dxa"/>
            <w:tcBorders>
              <w:top w:val="single" w:sz="4" w:space="0" w:color="000000"/>
              <w:left w:val="single" w:sz="4" w:space="0" w:color="000000"/>
              <w:bottom w:val="single" w:sz="4" w:space="0" w:color="000000"/>
              <w:right w:val="single" w:sz="4" w:space="0" w:color="000000"/>
            </w:tcBorders>
            <w:vAlign w:val="center"/>
          </w:tcPr>
          <w:p w14:paraId="4E4F0454" w14:textId="77777777" w:rsidR="00826CA0" w:rsidRPr="001724A0" w:rsidRDefault="00826CA0" w:rsidP="00C32650">
            <w:pPr>
              <w:autoSpaceDE w:val="0"/>
              <w:autoSpaceDN w:val="0"/>
              <w:adjustRightInd w:val="0"/>
              <w:rPr>
                <w:rFonts w:cs="Arial"/>
                <w:lang w:val="en-US"/>
              </w:rPr>
            </w:pPr>
            <w:r w:rsidRPr="001724A0">
              <w:rPr>
                <w:rFonts w:cs="Arial"/>
                <w:b/>
                <w:bCs/>
                <w:lang w:val="en-US"/>
              </w:rPr>
              <w:t xml:space="preserve">Version </w:t>
            </w:r>
          </w:p>
        </w:tc>
        <w:tc>
          <w:tcPr>
            <w:tcW w:w="5265" w:type="dxa"/>
            <w:tcBorders>
              <w:top w:val="single" w:sz="4" w:space="0" w:color="000000"/>
              <w:left w:val="single" w:sz="4" w:space="0" w:color="000000"/>
              <w:bottom w:val="single" w:sz="4" w:space="0" w:color="000000"/>
              <w:right w:val="single" w:sz="4" w:space="0" w:color="000000"/>
            </w:tcBorders>
            <w:vAlign w:val="center"/>
          </w:tcPr>
          <w:p w14:paraId="4E4F0455" w14:textId="77777777" w:rsidR="00826CA0" w:rsidRPr="001724A0" w:rsidRDefault="00826CA0" w:rsidP="00C32650">
            <w:pPr>
              <w:autoSpaceDE w:val="0"/>
              <w:autoSpaceDN w:val="0"/>
              <w:adjustRightInd w:val="0"/>
              <w:rPr>
                <w:rFonts w:cs="Arial"/>
                <w:lang w:val="en-US"/>
              </w:rPr>
            </w:pPr>
          </w:p>
        </w:tc>
      </w:tr>
    </w:tbl>
    <w:p w14:paraId="4E4F0457" w14:textId="77777777" w:rsidR="00826CA0" w:rsidRPr="001724A0" w:rsidRDefault="00826CA0" w:rsidP="00826CA0">
      <w:pPr>
        <w:autoSpaceDE w:val="0"/>
        <w:autoSpaceDN w:val="0"/>
        <w:adjustRightInd w:val="0"/>
        <w:rPr>
          <w:rFonts w:cs="Arial"/>
          <w:lang w:val="en-US"/>
        </w:rPr>
      </w:pPr>
    </w:p>
    <w:tbl>
      <w:tblPr>
        <w:tblW w:w="9504" w:type="dxa"/>
        <w:tblInd w:w="118" w:type="dxa"/>
        <w:tblLayout w:type="fixed"/>
        <w:tblLook w:val="0000" w:firstRow="0" w:lastRow="0" w:firstColumn="0" w:lastColumn="0" w:noHBand="0" w:noVBand="0"/>
      </w:tblPr>
      <w:tblGrid>
        <w:gridCol w:w="1266"/>
        <w:gridCol w:w="2126"/>
        <w:gridCol w:w="6112"/>
      </w:tblGrid>
      <w:tr w:rsidR="00826CA0" w:rsidRPr="001724A0" w14:paraId="4E4F045B" w14:textId="77777777" w:rsidTr="000938B5">
        <w:trPr>
          <w:trHeight w:val="305"/>
        </w:trPr>
        <w:tc>
          <w:tcPr>
            <w:tcW w:w="1266" w:type="dxa"/>
            <w:tcBorders>
              <w:top w:val="single" w:sz="4" w:space="0" w:color="000000"/>
              <w:left w:val="single" w:sz="4" w:space="0" w:color="000000"/>
              <w:bottom w:val="single" w:sz="4" w:space="0" w:color="000000"/>
              <w:right w:val="single" w:sz="4" w:space="0" w:color="000000"/>
            </w:tcBorders>
          </w:tcPr>
          <w:p w14:paraId="4E4F0458" w14:textId="77777777" w:rsidR="00826CA0" w:rsidRPr="001724A0" w:rsidRDefault="00D86BA3" w:rsidP="00C32650">
            <w:pPr>
              <w:autoSpaceDE w:val="0"/>
              <w:autoSpaceDN w:val="0"/>
              <w:adjustRightInd w:val="0"/>
              <w:jc w:val="both"/>
              <w:rPr>
                <w:rFonts w:cs="Arial"/>
                <w:lang w:val="en-US"/>
              </w:rPr>
            </w:pPr>
            <w:r>
              <w:rPr>
                <w:rFonts w:cs="Arial"/>
                <w:b/>
                <w:bCs/>
                <w:lang w:val="en-US"/>
              </w:rPr>
              <w:t xml:space="preserve">Version No. </w:t>
            </w:r>
          </w:p>
        </w:tc>
        <w:tc>
          <w:tcPr>
            <w:tcW w:w="2126" w:type="dxa"/>
            <w:tcBorders>
              <w:top w:val="single" w:sz="4" w:space="0" w:color="000000"/>
              <w:left w:val="single" w:sz="4" w:space="0" w:color="000000"/>
              <w:bottom w:val="single" w:sz="4" w:space="0" w:color="000000"/>
              <w:right w:val="single" w:sz="4" w:space="0" w:color="000000"/>
            </w:tcBorders>
          </w:tcPr>
          <w:p w14:paraId="4E4F0459" w14:textId="77777777" w:rsidR="00826CA0" w:rsidRPr="001724A0" w:rsidRDefault="00826CA0" w:rsidP="00C32650">
            <w:pPr>
              <w:autoSpaceDE w:val="0"/>
              <w:autoSpaceDN w:val="0"/>
              <w:adjustRightInd w:val="0"/>
              <w:jc w:val="both"/>
              <w:rPr>
                <w:rFonts w:cs="Arial"/>
                <w:lang w:val="en-US"/>
              </w:rPr>
            </w:pPr>
            <w:r w:rsidRPr="001724A0">
              <w:rPr>
                <w:rFonts w:cs="Arial"/>
                <w:b/>
                <w:bCs/>
                <w:lang w:val="en-US"/>
              </w:rPr>
              <w:t xml:space="preserve">Date </w:t>
            </w:r>
          </w:p>
        </w:tc>
        <w:tc>
          <w:tcPr>
            <w:tcW w:w="6112" w:type="dxa"/>
            <w:tcBorders>
              <w:top w:val="single" w:sz="4" w:space="0" w:color="000000"/>
              <w:left w:val="single" w:sz="4" w:space="0" w:color="000000"/>
              <w:bottom w:val="single" w:sz="4" w:space="0" w:color="000000"/>
              <w:right w:val="single" w:sz="4" w:space="0" w:color="000000"/>
            </w:tcBorders>
          </w:tcPr>
          <w:p w14:paraId="4E4F045A" w14:textId="77777777" w:rsidR="00826CA0" w:rsidRPr="001724A0" w:rsidRDefault="00826CA0" w:rsidP="00C32650">
            <w:pPr>
              <w:autoSpaceDE w:val="0"/>
              <w:autoSpaceDN w:val="0"/>
              <w:adjustRightInd w:val="0"/>
              <w:jc w:val="both"/>
              <w:rPr>
                <w:rFonts w:cs="Arial"/>
                <w:lang w:val="en-US"/>
              </w:rPr>
            </w:pPr>
            <w:r w:rsidRPr="001724A0">
              <w:rPr>
                <w:rFonts w:cs="Arial"/>
                <w:b/>
                <w:bCs/>
                <w:lang w:val="en-US"/>
              </w:rPr>
              <w:t xml:space="preserve">Notes </w:t>
            </w:r>
          </w:p>
        </w:tc>
      </w:tr>
      <w:tr w:rsidR="00826CA0" w:rsidRPr="001724A0" w14:paraId="4E4F0460" w14:textId="77777777" w:rsidTr="000938B5">
        <w:trPr>
          <w:trHeight w:val="292"/>
        </w:trPr>
        <w:tc>
          <w:tcPr>
            <w:tcW w:w="1266" w:type="dxa"/>
            <w:tcBorders>
              <w:top w:val="single" w:sz="4" w:space="0" w:color="000000"/>
              <w:left w:val="single" w:sz="4" w:space="0" w:color="000000"/>
              <w:bottom w:val="single" w:sz="4" w:space="0" w:color="000000"/>
              <w:right w:val="single" w:sz="4" w:space="0" w:color="000000"/>
            </w:tcBorders>
          </w:tcPr>
          <w:p w14:paraId="4E4F045C" w14:textId="77777777" w:rsidR="00826CA0" w:rsidRPr="001724A0" w:rsidRDefault="00826CA0" w:rsidP="00C32650">
            <w:pPr>
              <w:autoSpaceDE w:val="0"/>
              <w:autoSpaceDN w:val="0"/>
              <w:adjustRightInd w:val="0"/>
              <w:jc w:val="both"/>
              <w:rPr>
                <w:rFonts w:cs="Arial"/>
                <w:lang w:val="en-US"/>
              </w:rPr>
            </w:pPr>
            <w:r w:rsidRPr="001724A0">
              <w:rPr>
                <w:rFonts w:cs="Arial"/>
                <w:lang w:val="en-US"/>
              </w:rPr>
              <w:t xml:space="preserve">1 </w:t>
            </w:r>
          </w:p>
          <w:p w14:paraId="4E4F045D" w14:textId="77777777" w:rsidR="001724A0" w:rsidRPr="001724A0" w:rsidRDefault="001724A0" w:rsidP="00C32650">
            <w:pPr>
              <w:autoSpaceDE w:val="0"/>
              <w:autoSpaceDN w:val="0"/>
              <w:adjustRightInd w:val="0"/>
              <w:jc w:val="both"/>
              <w:rPr>
                <w:rFonts w:cs="Arial"/>
                <w:lang w:val="en-US"/>
              </w:rPr>
            </w:pPr>
          </w:p>
        </w:tc>
        <w:tc>
          <w:tcPr>
            <w:tcW w:w="2126" w:type="dxa"/>
            <w:tcBorders>
              <w:top w:val="single" w:sz="4" w:space="0" w:color="000000"/>
              <w:left w:val="single" w:sz="4" w:space="0" w:color="000000"/>
              <w:bottom w:val="single" w:sz="4" w:space="0" w:color="000000"/>
              <w:right w:val="single" w:sz="4" w:space="0" w:color="000000"/>
            </w:tcBorders>
          </w:tcPr>
          <w:p w14:paraId="4E4F045E" w14:textId="77777777" w:rsidR="00826CA0" w:rsidRPr="001724A0" w:rsidRDefault="00D86BA3" w:rsidP="00C32650">
            <w:pPr>
              <w:autoSpaceDE w:val="0"/>
              <w:autoSpaceDN w:val="0"/>
              <w:adjustRightInd w:val="0"/>
              <w:jc w:val="both"/>
              <w:rPr>
                <w:rFonts w:cs="Arial"/>
                <w:lang w:val="en-US"/>
              </w:rPr>
            </w:pPr>
            <w:r>
              <w:rPr>
                <w:rFonts w:cs="Arial"/>
                <w:lang w:val="en-US"/>
              </w:rPr>
              <w:t>December 2018</w:t>
            </w:r>
          </w:p>
        </w:tc>
        <w:tc>
          <w:tcPr>
            <w:tcW w:w="6112" w:type="dxa"/>
            <w:tcBorders>
              <w:top w:val="single" w:sz="4" w:space="0" w:color="000000"/>
              <w:left w:val="single" w:sz="4" w:space="0" w:color="000000"/>
              <w:bottom w:val="single" w:sz="4" w:space="0" w:color="000000"/>
              <w:right w:val="single" w:sz="4" w:space="0" w:color="000000"/>
            </w:tcBorders>
          </w:tcPr>
          <w:p w14:paraId="4E4F045F" w14:textId="2DA21A1D" w:rsidR="00826CA0" w:rsidRPr="001724A0" w:rsidRDefault="00D86BA3" w:rsidP="00C32650">
            <w:pPr>
              <w:autoSpaceDE w:val="0"/>
              <w:autoSpaceDN w:val="0"/>
              <w:adjustRightInd w:val="0"/>
              <w:rPr>
                <w:rFonts w:cs="Arial"/>
                <w:lang w:val="en-US"/>
              </w:rPr>
            </w:pPr>
            <w:r>
              <w:rPr>
                <w:rFonts w:cs="Arial"/>
                <w:lang w:val="en-US"/>
              </w:rPr>
              <w:t xml:space="preserve">Complete policy revision based on </w:t>
            </w:r>
            <w:r w:rsidR="0083017D">
              <w:rPr>
                <w:rFonts w:cs="Arial"/>
                <w:lang w:val="en-US"/>
              </w:rPr>
              <w:t>significant legislative</w:t>
            </w:r>
            <w:r>
              <w:rPr>
                <w:rFonts w:cs="Arial"/>
                <w:lang w:val="en-US"/>
              </w:rPr>
              <w:t xml:space="preserve"> updates in 2017 &amp; 2018, and the new obligations imposed</w:t>
            </w:r>
            <w:r w:rsidR="007D41F9">
              <w:rPr>
                <w:rFonts w:cs="Arial"/>
                <w:lang w:val="en-US"/>
              </w:rPr>
              <w:t xml:space="preserve"> on </w:t>
            </w:r>
            <w:r w:rsidR="007D41F9" w:rsidRPr="00D32603">
              <w:rPr>
                <w:rFonts w:cs="Arial"/>
              </w:rPr>
              <w:t>organisations</w:t>
            </w:r>
          </w:p>
        </w:tc>
      </w:tr>
      <w:tr w:rsidR="00826CA0" w:rsidRPr="001724A0" w14:paraId="4E4F0465" w14:textId="77777777" w:rsidTr="000938B5">
        <w:trPr>
          <w:trHeight w:val="292"/>
        </w:trPr>
        <w:tc>
          <w:tcPr>
            <w:tcW w:w="1266" w:type="dxa"/>
            <w:tcBorders>
              <w:top w:val="single" w:sz="4" w:space="0" w:color="000000"/>
              <w:left w:val="single" w:sz="4" w:space="0" w:color="000000"/>
              <w:bottom w:val="single" w:sz="4" w:space="0" w:color="000000"/>
              <w:right w:val="single" w:sz="4" w:space="0" w:color="000000"/>
            </w:tcBorders>
          </w:tcPr>
          <w:p w14:paraId="4E4F0461" w14:textId="77777777" w:rsidR="00826CA0" w:rsidRPr="001724A0" w:rsidRDefault="00826CA0" w:rsidP="00C32650">
            <w:pPr>
              <w:autoSpaceDE w:val="0"/>
              <w:autoSpaceDN w:val="0"/>
              <w:adjustRightInd w:val="0"/>
              <w:jc w:val="both"/>
              <w:rPr>
                <w:rFonts w:cs="Arial"/>
                <w:lang w:val="en-US"/>
              </w:rPr>
            </w:pPr>
            <w:r w:rsidRPr="001724A0">
              <w:rPr>
                <w:rFonts w:cs="Arial"/>
                <w:lang w:val="en-US"/>
              </w:rPr>
              <w:t>2</w:t>
            </w:r>
          </w:p>
          <w:p w14:paraId="4E4F0462" w14:textId="77777777" w:rsidR="00826CA0" w:rsidRPr="001724A0" w:rsidRDefault="00826CA0" w:rsidP="00C32650">
            <w:pPr>
              <w:autoSpaceDE w:val="0"/>
              <w:autoSpaceDN w:val="0"/>
              <w:adjustRightInd w:val="0"/>
              <w:jc w:val="both"/>
              <w:rPr>
                <w:rFonts w:cs="Arial"/>
                <w:lang w:val="en-US"/>
              </w:rPr>
            </w:pPr>
          </w:p>
        </w:tc>
        <w:tc>
          <w:tcPr>
            <w:tcW w:w="2126" w:type="dxa"/>
            <w:tcBorders>
              <w:top w:val="single" w:sz="4" w:space="0" w:color="000000"/>
              <w:left w:val="single" w:sz="4" w:space="0" w:color="000000"/>
              <w:bottom w:val="single" w:sz="4" w:space="0" w:color="000000"/>
              <w:right w:val="single" w:sz="4" w:space="0" w:color="000000"/>
            </w:tcBorders>
          </w:tcPr>
          <w:p w14:paraId="4E4F0463" w14:textId="07006E80" w:rsidR="00826CA0" w:rsidRPr="001724A0" w:rsidRDefault="004817BA" w:rsidP="00C32650">
            <w:pPr>
              <w:autoSpaceDE w:val="0"/>
              <w:autoSpaceDN w:val="0"/>
              <w:adjustRightInd w:val="0"/>
              <w:jc w:val="both"/>
              <w:rPr>
                <w:rFonts w:cs="Arial"/>
                <w:lang w:val="en-US"/>
              </w:rPr>
            </w:pPr>
            <w:r>
              <w:rPr>
                <w:rFonts w:cs="Arial"/>
                <w:lang w:val="en-US"/>
              </w:rPr>
              <w:t>Dec</w:t>
            </w:r>
            <w:r w:rsidR="00B773DE">
              <w:rPr>
                <w:rFonts w:cs="Arial"/>
                <w:lang w:val="en-US"/>
              </w:rPr>
              <w:t>ember</w:t>
            </w:r>
            <w:r w:rsidR="00A56615">
              <w:rPr>
                <w:rFonts w:cs="Arial"/>
                <w:lang w:val="en-US"/>
              </w:rPr>
              <w:t xml:space="preserve"> 2024</w:t>
            </w:r>
          </w:p>
        </w:tc>
        <w:tc>
          <w:tcPr>
            <w:tcW w:w="6112" w:type="dxa"/>
            <w:tcBorders>
              <w:top w:val="single" w:sz="4" w:space="0" w:color="000000"/>
              <w:left w:val="single" w:sz="4" w:space="0" w:color="000000"/>
              <w:bottom w:val="single" w:sz="4" w:space="0" w:color="000000"/>
              <w:right w:val="single" w:sz="4" w:space="0" w:color="000000"/>
            </w:tcBorders>
          </w:tcPr>
          <w:p w14:paraId="4E4F0464" w14:textId="7F41748B" w:rsidR="00826CA0" w:rsidRPr="001724A0" w:rsidRDefault="00FA336E" w:rsidP="00C32650">
            <w:pPr>
              <w:autoSpaceDE w:val="0"/>
              <w:autoSpaceDN w:val="0"/>
              <w:adjustRightInd w:val="0"/>
              <w:rPr>
                <w:rFonts w:cs="Arial"/>
                <w:lang w:val="en-US"/>
              </w:rPr>
            </w:pPr>
            <w:r>
              <w:rPr>
                <w:rFonts w:cs="Arial"/>
                <w:lang w:val="en-US"/>
              </w:rPr>
              <w:t>Revised to included references to new legislation</w:t>
            </w:r>
            <w:r w:rsidR="0025554B">
              <w:rPr>
                <w:rFonts w:cs="Arial"/>
                <w:lang w:val="en-US"/>
              </w:rPr>
              <w:t xml:space="preserve">, digital transactions, </w:t>
            </w:r>
            <w:proofErr w:type="spellStart"/>
            <w:r w:rsidR="0025554B">
              <w:rPr>
                <w:rFonts w:cs="Arial"/>
                <w:lang w:val="en-US"/>
              </w:rPr>
              <w:t>cryptoassets</w:t>
            </w:r>
            <w:proofErr w:type="spellEnd"/>
            <w:r w:rsidR="00D30E35">
              <w:rPr>
                <w:rFonts w:cs="Arial"/>
                <w:lang w:val="en-US"/>
              </w:rPr>
              <w:t xml:space="preserve"> and a move towards a cashless culture</w:t>
            </w:r>
            <w:r w:rsidR="00633E81">
              <w:rPr>
                <w:rFonts w:cs="Arial"/>
                <w:lang w:val="en-US"/>
              </w:rPr>
              <w:t xml:space="preserve">. Some areas </w:t>
            </w:r>
            <w:r w:rsidR="00144C9D">
              <w:rPr>
                <w:rFonts w:cs="Arial"/>
                <w:lang w:val="en-US"/>
              </w:rPr>
              <w:t>simplified and amalgamated.</w:t>
            </w:r>
          </w:p>
        </w:tc>
      </w:tr>
      <w:tr w:rsidR="00826CA0" w:rsidRPr="001724A0" w14:paraId="4E4F0469" w14:textId="77777777" w:rsidTr="000938B5">
        <w:trPr>
          <w:trHeight w:val="546"/>
        </w:trPr>
        <w:tc>
          <w:tcPr>
            <w:tcW w:w="1266" w:type="dxa"/>
            <w:tcBorders>
              <w:top w:val="single" w:sz="4" w:space="0" w:color="000000"/>
              <w:left w:val="single" w:sz="4" w:space="0" w:color="000000"/>
              <w:bottom w:val="single" w:sz="4" w:space="0" w:color="000000"/>
              <w:right w:val="single" w:sz="4" w:space="0" w:color="000000"/>
            </w:tcBorders>
          </w:tcPr>
          <w:p w14:paraId="4E4F0466" w14:textId="77777777" w:rsidR="00826CA0" w:rsidRPr="001724A0" w:rsidRDefault="00826CA0" w:rsidP="00C32650">
            <w:pPr>
              <w:autoSpaceDE w:val="0"/>
              <w:autoSpaceDN w:val="0"/>
              <w:adjustRightInd w:val="0"/>
              <w:jc w:val="both"/>
              <w:rPr>
                <w:rFonts w:cs="Arial"/>
                <w:lang w:val="en-US"/>
              </w:rPr>
            </w:pPr>
            <w:r w:rsidRPr="001724A0">
              <w:rPr>
                <w:rFonts w:cs="Arial"/>
                <w:lang w:val="en-US"/>
              </w:rPr>
              <w:t>3.</w:t>
            </w:r>
          </w:p>
        </w:tc>
        <w:tc>
          <w:tcPr>
            <w:tcW w:w="2126" w:type="dxa"/>
            <w:tcBorders>
              <w:top w:val="single" w:sz="4" w:space="0" w:color="000000"/>
              <w:left w:val="single" w:sz="4" w:space="0" w:color="000000"/>
              <w:bottom w:val="single" w:sz="4" w:space="0" w:color="000000"/>
              <w:right w:val="single" w:sz="4" w:space="0" w:color="000000"/>
            </w:tcBorders>
          </w:tcPr>
          <w:p w14:paraId="4E4F0467" w14:textId="77777777" w:rsidR="00826CA0" w:rsidRPr="001724A0" w:rsidRDefault="00826CA0" w:rsidP="00C32650">
            <w:pPr>
              <w:autoSpaceDE w:val="0"/>
              <w:autoSpaceDN w:val="0"/>
              <w:adjustRightInd w:val="0"/>
              <w:jc w:val="both"/>
              <w:rPr>
                <w:rFonts w:cs="Arial"/>
                <w:lang w:val="en-US"/>
              </w:rPr>
            </w:pPr>
          </w:p>
        </w:tc>
        <w:tc>
          <w:tcPr>
            <w:tcW w:w="6112" w:type="dxa"/>
            <w:tcBorders>
              <w:top w:val="single" w:sz="4" w:space="0" w:color="000000"/>
              <w:left w:val="single" w:sz="4" w:space="0" w:color="000000"/>
              <w:bottom w:val="single" w:sz="4" w:space="0" w:color="000000"/>
              <w:right w:val="single" w:sz="4" w:space="0" w:color="000000"/>
            </w:tcBorders>
          </w:tcPr>
          <w:p w14:paraId="4E4F0468" w14:textId="77777777" w:rsidR="00826CA0" w:rsidRPr="001724A0" w:rsidRDefault="00826CA0" w:rsidP="00C32650">
            <w:pPr>
              <w:autoSpaceDE w:val="0"/>
              <w:autoSpaceDN w:val="0"/>
              <w:adjustRightInd w:val="0"/>
              <w:rPr>
                <w:rFonts w:cs="Arial"/>
                <w:lang w:val="en-US"/>
              </w:rPr>
            </w:pPr>
          </w:p>
        </w:tc>
      </w:tr>
      <w:tr w:rsidR="00826CA0" w:rsidRPr="001724A0" w14:paraId="4E4F046D" w14:textId="77777777" w:rsidTr="000938B5">
        <w:trPr>
          <w:trHeight w:val="546"/>
        </w:trPr>
        <w:tc>
          <w:tcPr>
            <w:tcW w:w="1266" w:type="dxa"/>
            <w:tcBorders>
              <w:top w:val="single" w:sz="4" w:space="0" w:color="000000"/>
              <w:left w:val="single" w:sz="4" w:space="0" w:color="000000"/>
              <w:bottom w:val="single" w:sz="4" w:space="0" w:color="000000"/>
              <w:right w:val="single" w:sz="4" w:space="0" w:color="000000"/>
            </w:tcBorders>
          </w:tcPr>
          <w:p w14:paraId="4E4F046A" w14:textId="77777777" w:rsidR="00826CA0" w:rsidRPr="001724A0" w:rsidRDefault="00826CA0" w:rsidP="00C32650">
            <w:pPr>
              <w:autoSpaceDE w:val="0"/>
              <w:autoSpaceDN w:val="0"/>
              <w:adjustRightInd w:val="0"/>
              <w:jc w:val="both"/>
              <w:rPr>
                <w:rFonts w:cs="Arial"/>
                <w:lang w:val="en-US"/>
              </w:rPr>
            </w:pPr>
            <w:r w:rsidRPr="001724A0">
              <w:rPr>
                <w:rFonts w:cs="Arial"/>
                <w:lang w:val="en-US"/>
              </w:rPr>
              <w:t>4</w:t>
            </w:r>
          </w:p>
        </w:tc>
        <w:tc>
          <w:tcPr>
            <w:tcW w:w="2126" w:type="dxa"/>
            <w:tcBorders>
              <w:top w:val="single" w:sz="4" w:space="0" w:color="000000"/>
              <w:left w:val="single" w:sz="4" w:space="0" w:color="000000"/>
              <w:bottom w:val="single" w:sz="4" w:space="0" w:color="000000"/>
              <w:right w:val="single" w:sz="4" w:space="0" w:color="000000"/>
            </w:tcBorders>
          </w:tcPr>
          <w:p w14:paraId="4E4F046B" w14:textId="77777777" w:rsidR="00826CA0" w:rsidRPr="001724A0" w:rsidRDefault="00826CA0" w:rsidP="00C32650">
            <w:pPr>
              <w:autoSpaceDE w:val="0"/>
              <w:autoSpaceDN w:val="0"/>
              <w:adjustRightInd w:val="0"/>
              <w:jc w:val="both"/>
              <w:rPr>
                <w:rFonts w:cs="Arial"/>
                <w:lang w:val="en-US"/>
              </w:rPr>
            </w:pPr>
          </w:p>
        </w:tc>
        <w:tc>
          <w:tcPr>
            <w:tcW w:w="6112" w:type="dxa"/>
            <w:tcBorders>
              <w:top w:val="single" w:sz="4" w:space="0" w:color="000000"/>
              <w:left w:val="single" w:sz="4" w:space="0" w:color="000000"/>
              <w:bottom w:val="single" w:sz="4" w:space="0" w:color="000000"/>
              <w:right w:val="single" w:sz="4" w:space="0" w:color="000000"/>
            </w:tcBorders>
          </w:tcPr>
          <w:p w14:paraId="4E4F046C" w14:textId="77777777" w:rsidR="00826CA0" w:rsidRPr="001724A0" w:rsidRDefault="00826CA0" w:rsidP="00C32650">
            <w:pPr>
              <w:autoSpaceDE w:val="0"/>
              <w:autoSpaceDN w:val="0"/>
              <w:adjustRightInd w:val="0"/>
              <w:rPr>
                <w:rFonts w:cs="Arial"/>
                <w:lang w:val="en-US"/>
              </w:rPr>
            </w:pPr>
          </w:p>
        </w:tc>
      </w:tr>
      <w:tr w:rsidR="00826CA0" w:rsidRPr="001724A0" w14:paraId="4E4F0471" w14:textId="77777777" w:rsidTr="000938B5">
        <w:trPr>
          <w:trHeight w:val="546"/>
        </w:trPr>
        <w:tc>
          <w:tcPr>
            <w:tcW w:w="1266" w:type="dxa"/>
            <w:tcBorders>
              <w:top w:val="single" w:sz="4" w:space="0" w:color="000000"/>
              <w:left w:val="single" w:sz="4" w:space="0" w:color="000000"/>
              <w:bottom w:val="single" w:sz="4" w:space="0" w:color="000000"/>
              <w:right w:val="single" w:sz="4" w:space="0" w:color="000000"/>
            </w:tcBorders>
          </w:tcPr>
          <w:p w14:paraId="4E4F046E" w14:textId="77777777" w:rsidR="00826CA0" w:rsidRPr="001724A0" w:rsidRDefault="00826CA0" w:rsidP="00C32650">
            <w:pPr>
              <w:autoSpaceDE w:val="0"/>
              <w:autoSpaceDN w:val="0"/>
              <w:adjustRightInd w:val="0"/>
              <w:jc w:val="both"/>
              <w:rPr>
                <w:rFonts w:cs="Arial"/>
                <w:lang w:val="en-US"/>
              </w:rPr>
            </w:pPr>
            <w:r w:rsidRPr="001724A0">
              <w:rPr>
                <w:rFonts w:cs="Arial"/>
                <w:lang w:val="en-US"/>
              </w:rPr>
              <w:t xml:space="preserve">5. </w:t>
            </w:r>
          </w:p>
        </w:tc>
        <w:tc>
          <w:tcPr>
            <w:tcW w:w="2126" w:type="dxa"/>
            <w:tcBorders>
              <w:top w:val="single" w:sz="4" w:space="0" w:color="000000"/>
              <w:left w:val="single" w:sz="4" w:space="0" w:color="000000"/>
              <w:bottom w:val="single" w:sz="4" w:space="0" w:color="000000"/>
              <w:right w:val="single" w:sz="4" w:space="0" w:color="000000"/>
            </w:tcBorders>
          </w:tcPr>
          <w:p w14:paraId="4E4F046F" w14:textId="77777777" w:rsidR="00826CA0" w:rsidRPr="001724A0" w:rsidRDefault="00826CA0" w:rsidP="00C32650">
            <w:pPr>
              <w:autoSpaceDE w:val="0"/>
              <w:autoSpaceDN w:val="0"/>
              <w:adjustRightInd w:val="0"/>
              <w:jc w:val="both"/>
              <w:rPr>
                <w:rFonts w:cs="Arial"/>
                <w:lang w:val="en-US"/>
              </w:rPr>
            </w:pPr>
          </w:p>
        </w:tc>
        <w:tc>
          <w:tcPr>
            <w:tcW w:w="6112" w:type="dxa"/>
            <w:tcBorders>
              <w:top w:val="single" w:sz="4" w:space="0" w:color="000000"/>
              <w:left w:val="single" w:sz="4" w:space="0" w:color="000000"/>
              <w:bottom w:val="single" w:sz="4" w:space="0" w:color="000000"/>
              <w:right w:val="single" w:sz="4" w:space="0" w:color="000000"/>
            </w:tcBorders>
          </w:tcPr>
          <w:p w14:paraId="4E4F0470" w14:textId="77777777" w:rsidR="00826CA0" w:rsidRPr="001724A0" w:rsidRDefault="00826CA0" w:rsidP="00C32650">
            <w:pPr>
              <w:autoSpaceDE w:val="0"/>
              <w:autoSpaceDN w:val="0"/>
              <w:adjustRightInd w:val="0"/>
              <w:rPr>
                <w:rFonts w:cs="Arial"/>
                <w:lang w:val="en-US"/>
              </w:rPr>
            </w:pPr>
          </w:p>
        </w:tc>
      </w:tr>
    </w:tbl>
    <w:p w14:paraId="4E4F0472" w14:textId="77777777" w:rsidR="00D24006" w:rsidRPr="001724A0" w:rsidRDefault="00D24006" w:rsidP="00917DC4">
      <w:pPr>
        <w:pStyle w:val="TOC1"/>
        <w:tabs>
          <w:tab w:val="right" w:leader="dot" w:pos="9038"/>
        </w:tabs>
        <w:jc w:val="center"/>
        <w:outlineLvl w:val="0"/>
        <w:rPr>
          <w:rFonts w:cs="Arial"/>
          <w:b/>
          <w:caps w:val="0"/>
          <w:sz w:val="24"/>
          <w:szCs w:val="24"/>
        </w:rPr>
      </w:pPr>
      <w:bookmarkStart w:id="0" w:name="_Toc512337940"/>
    </w:p>
    <w:p w14:paraId="4E4F0473" w14:textId="77777777" w:rsidR="00D24006" w:rsidRPr="001724A0" w:rsidRDefault="00D24006" w:rsidP="00917DC4">
      <w:pPr>
        <w:pStyle w:val="TOC1"/>
        <w:tabs>
          <w:tab w:val="right" w:leader="dot" w:pos="9038"/>
        </w:tabs>
        <w:jc w:val="center"/>
        <w:outlineLvl w:val="0"/>
        <w:rPr>
          <w:rFonts w:cs="Arial"/>
          <w:b/>
          <w:caps w:val="0"/>
          <w:sz w:val="24"/>
          <w:szCs w:val="24"/>
        </w:rPr>
      </w:pPr>
    </w:p>
    <w:p w14:paraId="4E4F0474" w14:textId="77777777" w:rsidR="00D24006" w:rsidRPr="001724A0" w:rsidRDefault="00D24006" w:rsidP="00917DC4">
      <w:pPr>
        <w:pStyle w:val="TOC1"/>
        <w:tabs>
          <w:tab w:val="right" w:leader="dot" w:pos="9038"/>
        </w:tabs>
        <w:jc w:val="center"/>
        <w:outlineLvl w:val="0"/>
        <w:rPr>
          <w:rFonts w:cs="Arial"/>
          <w:b/>
          <w:caps w:val="0"/>
          <w:sz w:val="24"/>
          <w:szCs w:val="24"/>
        </w:rPr>
      </w:pPr>
    </w:p>
    <w:p w14:paraId="4E4F0475" w14:textId="77777777" w:rsidR="00D24006" w:rsidRPr="001724A0" w:rsidRDefault="00D24006" w:rsidP="00917DC4">
      <w:pPr>
        <w:pStyle w:val="TOC1"/>
        <w:tabs>
          <w:tab w:val="right" w:leader="dot" w:pos="9038"/>
        </w:tabs>
        <w:jc w:val="center"/>
        <w:outlineLvl w:val="0"/>
        <w:rPr>
          <w:rFonts w:cs="Arial"/>
          <w:b/>
          <w:caps w:val="0"/>
          <w:sz w:val="24"/>
          <w:szCs w:val="24"/>
        </w:rPr>
      </w:pPr>
    </w:p>
    <w:p w14:paraId="4E4F0476" w14:textId="77777777" w:rsidR="00D24006" w:rsidRPr="001724A0" w:rsidRDefault="00D24006" w:rsidP="00917DC4">
      <w:pPr>
        <w:pStyle w:val="TOC1"/>
        <w:tabs>
          <w:tab w:val="right" w:leader="dot" w:pos="9038"/>
        </w:tabs>
        <w:jc w:val="center"/>
        <w:outlineLvl w:val="0"/>
        <w:rPr>
          <w:rFonts w:cs="Arial"/>
          <w:b/>
          <w:caps w:val="0"/>
          <w:sz w:val="24"/>
          <w:szCs w:val="24"/>
        </w:rPr>
      </w:pPr>
    </w:p>
    <w:p w14:paraId="4E4F0477" w14:textId="77777777" w:rsidR="00D24006" w:rsidRPr="001724A0" w:rsidRDefault="00D24006" w:rsidP="00917DC4">
      <w:pPr>
        <w:pStyle w:val="TOC1"/>
        <w:tabs>
          <w:tab w:val="right" w:leader="dot" w:pos="9038"/>
        </w:tabs>
        <w:jc w:val="center"/>
        <w:outlineLvl w:val="0"/>
        <w:rPr>
          <w:rFonts w:cs="Arial"/>
          <w:b/>
          <w:caps w:val="0"/>
          <w:sz w:val="24"/>
          <w:szCs w:val="24"/>
        </w:rPr>
      </w:pPr>
    </w:p>
    <w:p w14:paraId="4E4F0478" w14:textId="77777777" w:rsidR="00D24006" w:rsidRPr="001724A0" w:rsidRDefault="00D24006" w:rsidP="00917DC4">
      <w:pPr>
        <w:pStyle w:val="TOC1"/>
        <w:tabs>
          <w:tab w:val="right" w:leader="dot" w:pos="9038"/>
        </w:tabs>
        <w:jc w:val="center"/>
        <w:outlineLvl w:val="0"/>
        <w:rPr>
          <w:rFonts w:cs="Arial"/>
          <w:b/>
          <w:caps w:val="0"/>
          <w:sz w:val="24"/>
          <w:szCs w:val="24"/>
        </w:rPr>
      </w:pPr>
    </w:p>
    <w:p w14:paraId="4E4F0479" w14:textId="77777777" w:rsidR="00D24006" w:rsidRPr="001724A0" w:rsidRDefault="00D24006" w:rsidP="00917DC4">
      <w:pPr>
        <w:pStyle w:val="TOC1"/>
        <w:tabs>
          <w:tab w:val="right" w:leader="dot" w:pos="9038"/>
        </w:tabs>
        <w:jc w:val="center"/>
        <w:outlineLvl w:val="0"/>
        <w:rPr>
          <w:rFonts w:cs="Arial"/>
          <w:b/>
          <w:caps w:val="0"/>
          <w:sz w:val="24"/>
          <w:szCs w:val="24"/>
        </w:rPr>
      </w:pPr>
    </w:p>
    <w:p w14:paraId="4E4F047A" w14:textId="77777777" w:rsidR="00D24006" w:rsidRPr="001724A0" w:rsidRDefault="00D24006" w:rsidP="00917DC4">
      <w:pPr>
        <w:pStyle w:val="TOC1"/>
        <w:tabs>
          <w:tab w:val="right" w:leader="dot" w:pos="9038"/>
        </w:tabs>
        <w:jc w:val="center"/>
        <w:outlineLvl w:val="0"/>
        <w:rPr>
          <w:rFonts w:cs="Arial"/>
          <w:b/>
          <w:caps w:val="0"/>
          <w:sz w:val="24"/>
          <w:szCs w:val="24"/>
        </w:rPr>
      </w:pPr>
    </w:p>
    <w:p w14:paraId="4E4F047B" w14:textId="77777777" w:rsidR="00D24006" w:rsidRPr="001724A0" w:rsidRDefault="00D24006" w:rsidP="00917DC4">
      <w:pPr>
        <w:pStyle w:val="TOC1"/>
        <w:tabs>
          <w:tab w:val="right" w:leader="dot" w:pos="9038"/>
        </w:tabs>
        <w:jc w:val="center"/>
        <w:outlineLvl w:val="0"/>
        <w:rPr>
          <w:rFonts w:cs="Arial"/>
          <w:b/>
          <w:caps w:val="0"/>
          <w:sz w:val="24"/>
          <w:szCs w:val="24"/>
        </w:rPr>
      </w:pPr>
    </w:p>
    <w:p w14:paraId="4E4F047C" w14:textId="77777777" w:rsidR="00D24006" w:rsidRPr="001724A0" w:rsidRDefault="00D24006" w:rsidP="00917DC4">
      <w:pPr>
        <w:pStyle w:val="TOC1"/>
        <w:tabs>
          <w:tab w:val="right" w:leader="dot" w:pos="9038"/>
        </w:tabs>
        <w:jc w:val="center"/>
        <w:outlineLvl w:val="0"/>
        <w:rPr>
          <w:rFonts w:cs="Arial"/>
          <w:b/>
          <w:caps w:val="0"/>
          <w:sz w:val="24"/>
          <w:szCs w:val="24"/>
        </w:rPr>
      </w:pPr>
    </w:p>
    <w:p w14:paraId="4E4F047D" w14:textId="77777777" w:rsidR="00D24006" w:rsidRPr="001724A0" w:rsidRDefault="00D24006" w:rsidP="00917DC4">
      <w:pPr>
        <w:pStyle w:val="TOC1"/>
        <w:tabs>
          <w:tab w:val="right" w:leader="dot" w:pos="9038"/>
        </w:tabs>
        <w:jc w:val="center"/>
        <w:outlineLvl w:val="0"/>
        <w:rPr>
          <w:rFonts w:cs="Arial"/>
          <w:b/>
          <w:caps w:val="0"/>
          <w:sz w:val="24"/>
          <w:szCs w:val="24"/>
        </w:rPr>
      </w:pPr>
    </w:p>
    <w:p w14:paraId="4E4F047E" w14:textId="77777777" w:rsidR="00A60118" w:rsidRPr="00A60118" w:rsidRDefault="00A60118" w:rsidP="00A60118">
      <w:pPr>
        <w:jc w:val="center"/>
        <w:rPr>
          <w:rFonts w:eastAsiaTheme="minorHAnsi" w:cs="Arial"/>
        </w:rPr>
      </w:pPr>
      <w:r w:rsidRPr="00A60118">
        <w:rPr>
          <w:rFonts w:eastAsiaTheme="minorHAnsi" w:cs="Arial"/>
        </w:rPr>
        <w:t>CONTENTS</w:t>
      </w:r>
    </w:p>
    <w:p w14:paraId="4E4F047F" w14:textId="77777777" w:rsidR="00A60118" w:rsidRPr="00A60118" w:rsidRDefault="00A60118" w:rsidP="00A60118">
      <w:pPr>
        <w:rPr>
          <w:rFonts w:eastAsiaTheme="minorHAnsi" w:cs="Arial"/>
        </w:rPr>
      </w:pPr>
      <w:r w:rsidRPr="00A60118">
        <w:rPr>
          <w:rFonts w:eastAsiaTheme="minorHAnsi" w:cs="Arial"/>
        </w:rPr>
        <w:tab/>
      </w:r>
      <w:r w:rsidRPr="00A60118">
        <w:rPr>
          <w:rFonts w:eastAsiaTheme="minorHAnsi" w:cs="Arial"/>
        </w:rPr>
        <w:tab/>
      </w:r>
      <w:r w:rsidRPr="00A60118">
        <w:rPr>
          <w:rFonts w:eastAsiaTheme="minorHAnsi" w:cs="Arial"/>
        </w:rPr>
        <w:tab/>
      </w:r>
      <w:r w:rsidRPr="00A60118">
        <w:rPr>
          <w:rFonts w:eastAsiaTheme="minorHAnsi" w:cs="Arial"/>
        </w:rPr>
        <w:tab/>
      </w:r>
      <w:r w:rsidRPr="00A60118">
        <w:rPr>
          <w:rFonts w:eastAsiaTheme="minorHAnsi" w:cs="Arial"/>
        </w:rPr>
        <w:tab/>
      </w:r>
      <w:r w:rsidRPr="00A60118">
        <w:rPr>
          <w:rFonts w:eastAsiaTheme="minorHAnsi" w:cs="Arial"/>
        </w:rPr>
        <w:tab/>
      </w:r>
      <w:r w:rsidRPr="00A60118">
        <w:rPr>
          <w:rFonts w:eastAsiaTheme="minorHAnsi" w:cs="Arial"/>
        </w:rPr>
        <w:tab/>
      </w:r>
      <w:r w:rsidRPr="00A60118">
        <w:rPr>
          <w:rFonts w:eastAsiaTheme="minorHAnsi" w:cs="Arial"/>
        </w:rPr>
        <w:tab/>
      </w:r>
      <w:r w:rsidRPr="00A60118">
        <w:rPr>
          <w:rFonts w:eastAsiaTheme="minorHAnsi" w:cs="Arial"/>
        </w:rPr>
        <w:tab/>
      </w:r>
      <w:r w:rsidRPr="00A60118">
        <w:rPr>
          <w:rFonts w:eastAsiaTheme="minorHAnsi" w:cs="Arial"/>
        </w:rPr>
        <w:tab/>
      </w:r>
      <w:r w:rsidRPr="00A60118">
        <w:rPr>
          <w:rFonts w:eastAsiaTheme="minorHAnsi" w:cs="Arial"/>
        </w:rPr>
        <w:tab/>
      </w:r>
    </w:p>
    <w:p w14:paraId="4E4F0480" w14:textId="77777777" w:rsidR="00A60118" w:rsidRPr="00A60118" w:rsidRDefault="00A60118" w:rsidP="00A60118">
      <w:pPr>
        <w:rPr>
          <w:rFonts w:eastAsiaTheme="minorHAnsi" w:cs="Arial"/>
        </w:rPr>
      </w:pPr>
      <w:r w:rsidRPr="00A60118">
        <w:rPr>
          <w:rFonts w:eastAsiaTheme="minorHAnsi" w:cs="Arial"/>
        </w:rPr>
        <w:t>SECTION A – Anti-Money Laundering Policy</w:t>
      </w:r>
      <w:r w:rsidRPr="00A60118">
        <w:rPr>
          <w:rFonts w:eastAsiaTheme="minorHAnsi" w:cs="Arial"/>
        </w:rPr>
        <w:tab/>
      </w:r>
      <w:r w:rsidRPr="00A60118">
        <w:rPr>
          <w:rFonts w:eastAsiaTheme="minorHAnsi" w:cs="Arial"/>
        </w:rPr>
        <w:tab/>
      </w:r>
      <w:r w:rsidRPr="00A60118">
        <w:rPr>
          <w:rFonts w:eastAsiaTheme="minorHAnsi" w:cs="Arial"/>
        </w:rPr>
        <w:tab/>
      </w:r>
      <w:r w:rsidRPr="00A60118">
        <w:rPr>
          <w:rFonts w:eastAsiaTheme="minorHAnsi" w:cs="Arial"/>
        </w:rPr>
        <w:tab/>
      </w:r>
      <w:r w:rsidRPr="00A60118">
        <w:rPr>
          <w:rFonts w:eastAsiaTheme="minorHAnsi" w:cs="Arial"/>
        </w:rPr>
        <w:tab/>
      </w:r>
    </w:p>
    <w:p w14:paraId="4E4F0481" w14:textId="77777777" w:rsidR="00A60118" w:rsidRPr="00A60118" w:rsidRDefault="00A60118" w:rsidP="00A60118">
      <w:pPr>
        <w:rPr>
          <w:rFonts w:eastAsiaTheme="minorHAnsi" w:cs="Arial"/>
        </w:rPr>
      </w:pPr>
    </w:p>
    <w:p w14:paraId="4E4F0482" w14:textId="7A9C3643" w:rsidR="00A60118" w:rsidRPr="00A60118" w:rsidRDefault="00A60118" w:rsidP="00A60118">
      <w:pPr>
        <w:rPr>
          <w:rFonts w:eastAsiaTheme="minorHAnsi" w:cs="Arial"/>
        </w:rPr>
      </w:pPr>
      <w:r w:rsidRPr="00A60118">
        <w:rPr>
          <w:rFonts w:eastAsiaTheme="minorHAnsi" w:cs="Arial"/>
        </w:rPr>
        <w:t>1.</w:t>
      </w:r>
      <w:r w:rsidRPr="00A60118">
        <w:rPr>
          <w:rFonts w:eastAsiaTheme="minorHAnsi" w:cs="Arial"/>
        </w:rPr>
        <w:tab/>
        <w:t>Introduction</w:t>
      </w:r>
      <w:r>
        <w:rPr>
          <w:rFonts w:eastAsiaTheme="minorHAnsi" w:cs="Arial"/>
        </w:rPr>
        <w:t>………………………………………………………</w:t>
      </w:r>
      <w:r w:rsidR="00AD2B14">
        <w:rPr>
          <w:rFonts w:eastAsiaTheme="minorHAnsi" w:cs="Arial"/>
        </w:rPr>
        <w:t>.</w:t>
      </w:r>
      <w:r>
        <w:rPr>
          <w:rFonts w:eastAsiaTheme="minorHAnsi" w:cs="Arial"/>
        </w:rPr>
        <w:t>…</w:t>
      </w:r>
      <w:r w:rsidR="00D86BA3">
        <w:rPr>
          <w:rFonts w:eastAsiaTheme="minorHAnsi" w:cs="Arial"/>
        </w:rPr>
        <w:t>.</w:t>
      </w:r>
      <w:r>
        <w:rPr>
          <w:rFonts w:eastAsiaTheme="minorHAnsi" w:cs="Arial"/>
        </w:rPr>
        <w:t>......3</w:t>
      </w:r>
    </w:p>
    <w:p w14:paraId="4E4F0483" w14:textId="55DAB3B5" w:rsidR="00A60118" w:rsidRPr="00A60118" w:rsidRDefault="00A60118" w:rsidP="00A60118">
      <w:pPr>
        <w:rPr>
          <w:rFonts w:eastAsiaTheme="minorHAnsi" w:cs="Arial"/>
        </w:rPr>
      </w:pPr>
      <w:r w:rsidRPr="00A60118">
        <w:rPr>
          <w:rFonts w:eastAsiaTheme="minorHAnsi" w:cs="Arial"/>
        </w:rPr>
        <w:t>2.</w:t>
      </w:r>
      <w:r w:rsidRPr="00A60118">
        <w:rPr>
          <w:rFonts w:eastAsiaTheme="minorHAnsi" w:cs="Arial"/>
        </w:rPr>
        <w:tab/>
        <w:t>Aims</w:t>
      </w:r>
      <w:r>
        <w:rPr>
          <w:rFonts w:eastAsiaTheme="minorHAnsi" w:cs="Arial"/>
        </w:rPr>
        <w:t>…………………………………………………………</w:t>
      </w:r>
      <w:r w:rsidR="00D86BA3">
        <w:rPr>
          <w:rFonts w:eastAsiaTheme="minorHAnsi" w:cs="Arial"/>
        </w:rPr>
        <w:t>.</w:t>
      </w:r>
      <w:r>
        <w:rPr>
          <w:rFonts w:eastAsiaTheme="minorHAnsi" w:cs="Arial"/>
        </w:rPr>
        <w:t>………</w:t>
      </w:r>
      <w:r w:rsidR="00D86BA3">
        <w:rPr>
          <w:rFonts w:eastAsiaTheme="minorHAnsi" w:cs="Arial"/>
        </w:rPr>
        <w:t>.</w:t>
      </w:r>
      <w:r>
        <w:rPr>
          <w:rFonts w:eastAsiaTheme="minorHAnsi" w:cs="Arial"/>
        </w:rPr>
        <w:t>......</w:t>
      </w:r>
      <w:r w:rsidRPr="00A60118">
        <w:rPr>
          <w:rFonts w:eastAsiaTheme="minorHAnsi" w:cs="Arial"/>
        </w:rPr>
        <w:t>3</w:t>
      </w:r>
    </w:p>
    <w:p w14:paraId="4E4F0484" w14:textId="422CFAE6" w:rsidR="00A60118" w:rsidRPr="00A60118" w:rsidRDefault="00A60118" w:rsidP="00A60118">
      <w:pPr>
        <w:rPr>
          <w:rFonts w:eastAsiaTheme="minorHAnsi" w:cs="Arial"/>
        </w:rPr>
      </w:pPr>
      <w:r w:rsidRPr="00A60118">
        <w:rPr>
          <w:rFonts w:eastAsiaTheme="minorHAnsi" w:cs="Arial"/>
        </w:rPr>
        <w:t>3.</w:t>
      </w:r>
      <w:r w:rsidRPr="00A60118">
        <w:rPr>
          <w:rFonts w:eastAsiaTheme="minorHAnsi" w:cs="Arial"/>
        </w:rPr>
        <w:tab/>
        <w:t>Objectives</w:t>
      </w:r>
      <w:r w:rsidR="008945BB">
        <w:rPr>
          <w:rFonts w:eastAsiaTheme="minorHAnsi" w:cs="Arial"/>
        </w:rPr>
        <w:t xml:space="preserve"> &amp; Duties…</w:t>
      </w:r>
      <w:r>
        <w:rPr>
          <w:rFonts w:eastAsiaTheme="minorHAnsi" w:cs="Arial"/>
        </w:rPr>
        <w:t>………………………………………</w:t>
      </w:r>
      <w:r w:rsidR="00D86BA3">
        <w:rPr>
          <w:rFonts w:eastAsiaTheme="minorHAnsi" w:cs="Arial"/>
        </w:rPr>
        <w:t>.</w:t>
      </w:r>
      <w:r>
        <w:rPr>
          <w:rFonts w:eastAsiaTheme="minorHAnsi" w:cs="Arial"/>
        </w:rPr>
        <w:t>……</w:t>
      </w:r>
      <w:r w:rsidR="00D86BA3">
        <w:rPr>
          <w:rFonts w:eastAsiaTheme="minorHAnsi" w:cs="Arial"/>
        </w:rPr>
        <w:t>.</w:t>
      </w:r>
      <w:r w:rsidR="008945BB">
        <w:rPr>
          <w:rFonts w:eastAsiaTheme="minorHAnsi" w:cs="Arial"/>
        </w:rPr>
        <w:t>...</w:t>
      </w:r>
      <w:r>
        <w:rPr>
          <w:rFonts w:eastAsiaTheme="minorHAnsi" w:cs="Arial"/>
        </w:rPr>
        <w:t>….</w:t>
      </w:r>
      <w:r w:rsidR="008945BB">
        <w:rPr>
          <w:rFonts w:eastAsiaTheme="minorHAnsi" w:cs="Arial"/>
        </w:rPr>
        <w:t>4</w:t>
      </w:r>
      <w:r w:rsidRPr="00A60118">
        <w:rPr>
          <w:rFonts w:eastAsiaTheme="minorHAnsi" w:cs="Arial"/>
        </w:rPr>
        <w:tab/>
      </w:r>
    </w:p>
    <w:p w14:paraId="4E4F0485" w14:textId="6C252F28" w:rsidR="00A60118" w:rsidRPr="00A60118" w:rsidRDefault="00A60118" w:rsidP="00A60118">
      <w:pPr>
        <w:rPr>
          <w:rFonts w:eastAsiaTheme="minorHAnsi" w:cs="Arial"/>
        </w:rPr>
      </w:pPr>
      <w:r w:rsidRPr="00A60118">
        <w:rPr>
          <w:rFonts w:eastAsiaTheme="minorHAnsi" w:cs="Arial"/>
        </w:rPr>
        <w:t>4.</w:t>
      </w:r>
      <w:r w:rsidRPr="00A60118">
        <w:rPr>
          <w:rFonts w:eastAsiaTheme="minorHAnsi" w:cs="Arial"/>
        </w:rPr>
        <w:tab/>
        <w:t>Policy Scope</w:t>
      </w:r>
      <w:r>
        <w:rPr>
          <w:rFonts w:eastAsiaTheme="minorHAnsi" w:cs="Arial"/>
        </w:rPr>
        <w:t>……………………………………………………</w:t>
      </w:r>
      <w:r w:rsidR="00D86BA3">
        <w:rPr>
          <w:rFonts w:eastAsiaTheme="minorHAnsi" w:cs="Arial"/>
        </w:rPr>
        <w:t>.</w:t>
      </w:r>
      <w:r>
        <w:rPr>
          <w:rFonts w:eastAsiaTheme="minorHAnsi" w:cs="Arial"/>
        </w:rPr>
        <w:t>……</w:t>
      </w:r>
      <w:r w:rsidR="00E63A0E">
        <w:rPr>
          <w:rFonts w:eastAsiaTheme="minorHAnsi" w:cs="Arial"/>
        </w:rPr>
        <w:t>.</w:t>
      </w:r>
      <w:r>
        <w:rPr>
          <w:rFonts w:eastAsiaTheme="minorHAnsi" w:cs="Arial"/>
        </w:rPr>
        <w:t>…</w:t>
      </w:r>
      <w:r w:rsidRPr="00A60118">
        <w:rPr>
          <w:rFonts w:eastAsiaTheme="minorHAnsi" w:cs="Arial"/>
        </w:rPr>
        <w:t>4</w:t>
      </w:r>
    </w:p>
    <w:p w14:paraId="4E4F0486" w14:textId="698F02BF" w:rsidR="00A60118" w:rsidRPr="00A60118" w:rsidRDefault="00A60118" w:rsidP="00A60118">
      <w:pPr>
        <w:rPr>
          <w:rFonts w:eastAsiaTheme="minorHAnsi" w:cs="Arial"/>
        </w:rPr>
      </w:pPr>
      <w:r w:rsidRPr="00A60118">
        <w:rPr>
          <w:rFonts w:eastAsiaTheme="minorHAnsi" w:cs="Arial"/>
        </w:rPr>
        <w:t>5</w:t>
      </w:r>
      <w:r w:rsidRPr="00A60118">
        <w:rPr>
          <w:rFonts w:eastAsiaTheme="minorHAnsi" w:cs="Arial"/>
        </w:rPr>
        <w:tab/>
        <w:t>Legal Framework</w:t>
      </w:r>
      <w:r>
        <w:rPr>
          <w:rFonts w:eastAsiaTheme="minorHAnsi" w:cs="Arial"/>
        </w:rPr>
        <w:t>……………………………………………………</w:t>
      </w:r>
      <w:r w:rsidR="00D86BA3">
        <w:rPr>
          <w:rFonts w:eastAsiaTheme="minorHAnsi" w:cs="Arial"/>
        </w:rPr>
        <w:t>.</w:t>
      </w:r>
      <w:r>
        <w:rPr>
          <w:rFonts w:eastAsiaTheme="minorHAnsi" w:cs="Arial"/>
        </w:rPr>
        <w:t>….</w:t>
      </w:r>
      <w:r w:rsidR="008945BB">
        <w:rPr>
          <w:rFonts w:eastAsiaTheme="minorHAnsi" w:cs="Arial"/>
        </w:rPr>
        <w:t>5</w:t>
      </w:r>
    </w:p>
    <w:p w14:paraId="4E4F0487" w14:textId="77777777" w:rsidR="00A60118" w:rsidRPr="00A60118" w:rsidRDefault="008945BB" w:rsidP="00A60118">
      <w:pPr>
        <w:rPr>
          <w:rFonts w:eastAsiaTheme="minorHAnsi" w:cs="Arial"/>
        </w:rPr>
      </w:pPr>
      <w:r>
        <w:rPr>
          <w:rFonts w:eastAsiaTheme="minorHAnsi" w:cs="Arial"/>
        </w:rPr>
        <w:t>6</w:t>
      </w:r>
      <w:r w:rsidR="00A60118" w:rsidRPr="00A60118">
        <w:rPr>
          <w:rFonts w:eastAsiaTheme="minorHAnsi" w:cs="Arial"/>
        </w:rPr>
        <w:tab/>
        <w:t>Interaction with Other Council Policies and</w:t>
      </w:r>
    </w:p>
    <w:p w14:paraId="4E4F0488" w14:textId="17856B39" w:rsidR="00A60118" w:rsidRPr="00A60118" w:rsidRDefault="00A60118" w:rsidP="00A60118">
      <w:pPr>
        <w:rPr>
          <w:rFonts w:eastAsiaTheme="minorHAnsi" w:cs="Arial"/>
        </w:rPr>
      </w:pPr>
      <w:r w:rsidRPr="00A60118">
        <w:rPr>
          <w:rFonts w:eastAsiaTheme="minorHAnsi" w:cs="Arial"/>
        </w:rPr>
        <w:tab/>
        <w:t>External Documents</w:t>
      </w:r>
      <w:r>
        <w:rPr>
          <w:rFonts w:eastAsiaTheme="minorHAnsi" w:cs="Arial"/>
        </w:rPr>
        <w:t>……………………………………………………</w:t>
      </w:r>
      <w:r w:rsidR="00E63A0E">
        <w:rPr>
          <w:rFonts w:eastAsiaTheme="minorHAnsi" w:cs="Arial"/>
        </w:rPr>
        <w:t>.</w:t>
      </w:r>
      <w:r w:rsidRPr="00A60118">
        <w:rPr>
          <w:rFonts w:eastAsiaTheme="minorHAnsi" w:cs="Arial"/>
        </w:rPr>
        <w:t>5</w:t>
      </w:r>
    </w:p>
    <w:p w14:paraId="4E4F0489" w14:textId="69687B95" w:rsidR="00A60118" w:rsidRPr="00A60118" w:rsidRDefault="008945BB" w:rsidP="00A60118">
      <w:pPr>
        <w:rPr>
          <w:rFonts w:eastAsiaTheme="minorHAnsi" w:cs="Arial"/>
        </w:rPr>
      </w:pPr>
      <w:r>
        <w:rPr>
          <w:rFonts w:eastAsiaTheme="minorHAnsi" w:cs="Arial"/>
        </w:rPr>
        <w:t>7</w:t>
      </w:r>
      <w:r w:rsidR="00A60118" w:rsidRPr="00A60118">
        <w:rPr>
          <w:rFonts w:eastAsiaTheme="minorHAnsi" w:cs="Arial"/>
        </w:rPr>
        <w:tab/>
        <w:t>Roles &amp; Responsibilities</w:t>
      </w:r>
      <w:r w:rsidR="00A60118">
        <w:rPr>
          <w:rFonts w:eastAsiaTheme="minorHAnsi" w:cs="Arial"/>
        </w:rPr>
        <w:t>……………………………………………</w:t>
      </w:r>
      <w:r w:rsidR="00E63A0E">
        <w:rPr>
          <w:rFonts w:eastAsiaTheme="minorHAnsi" w:cs="Arial"/>
        </w:rPr>
        <w:t>.</w:t>
      </w:r>
      <w:r w:rsidR="00A60118">
        <w:rPr>
          <w:rFonts w:eastAsiaTheme="minorHAnsi" w:cs="Arial"/>
        </w:rPr>
        <w:t>….</w:t>
      </w:r>
      <w:r w:rsidR="00A60118" w:rsidRPr="00A60118">
        <w:rPr>
          <w:rFonts w:eastAsiaTheme="minorHAnsi" w:cs="Arial"/>
        </w:rPr>
        <w:t>5</w:t>
      </w:r>
    </w:p>
    <w:p w14:paraId="4E4F048A" w14:textId="452F6913" w:rsidR="00A60118" w:rsidRPr="00A60118" w:rsidRDefault="008945BB" w:rsidP="00A60118">
      <w:pPr>
        <w:rPr>
          <w:rFonts w:eastAsiaTheme="minorHAnsi" w:cs="Arial"/>
        </w:rPr>
      </w:pPr>
      <w:r>
        <w:rPr>
          <w:rFonts w:eastAsiaTheme="minorHAnsi" w:cs="Arial"/>
        </w:rPr>
        <w:t>8</w:t>
      </w:r>
      <w:r w:rsidR="00A60118" w:rsidRPr="00A60118">
        <w:rPr>
          <w:rFonts w:eastAsiaTheme="minorHAnsi" w:cs="Arial"/>
        </w:rPr>
        <w:tab/>
        <w:t>Monitoring &amp; Review</w:t>
      </w:r>
      <w:r w:rsidR="00A60118">
        <w:rPr>
          <w:rFonts w:eastAsiaTheme="minorHAnsi" w:cs="Arial"/>
        </w:rPr>
        <w:t>…………………………………………………</w:t>
      </w:r>
      <w:r w:rsidR="00E63A0E">
        <w:rPr>
          <w:rFonts w:eastAsiaTheme="minorHAnsi" w:cs="Arial"/>
        </w:rPr>
        <w:t>…</w:t>
      </w:r>
      <w:r w:rsidR="00A60118" w:rsidRPr="00A60118">
        <w:rPr>
          <w:rFonts w:eastAsiaTheme="minorHAnsi" w:cs="Arial"/>
        </w:rPr>
        <w:t>7</w:t>
      </w:r>
    </w:p>
    <w:p w14:paraId="4E4F048B" w14:textId="77777777" w:rsidR="00A60118" w:rsidRPr="00A60118" w:rsidRDefault="00A60118" w:rsidP="00A60118">
      <w:pPr>
        <w:rPr>
          <w:rFonts w:eastAsiaTheme="minorHAnsi" w:cs="Arial"/>
        </w:rPr>
      </w:pPr>
    </w:p>
    <w:p w14:paraId="4E4F048C" w14:textId="77777777" w:rsidR="00A60118" w:rsidRPr="00A60118" w:rsidRDefault="00A60118" w:rsidP="00A60118">
      <w:pPr>
        <w:rPr>
          <w:rFonts w:eastAsiaTheme="minorHAnsi" w:cs="Arial"/>
        </w:rPr>
      </w:pPr>
      <w:r w:rsidRPr="00A60118">
        <w:rPr>
          <w:rFonts w:eastAsiaTheme="minorHAnsi" w:cs="Arial"/>
        </w:rPr>
        <w:t>SECTION B –Definitions</w:t>
      </w:r>
      <w:r w:rsidRPr="00A60118">
        <w:rPr>
          <w:rFonts w:eastAsiaTheme="minorHAnsi" w:cs="Arial"/>
        </w:rPr>
        <w:tab/>
      </w:r>
    </w:p>
    <w:p w14:paraId="4E4F048D" w14:textId="77777777" w:rsidR="00A60118" w:rsidRPr="00A60118" w:rsidRDefault="00A60118" w:rsidP="00A60118">
      <w:pPr>
        <w:rPr>
          <w:rFonts w:eastAsiaTheme="minorHAnsi" w:cs="Arial"/>
        </w:rPr>
      </w:pPr>
      <w:r w:rsidRPr="00A60118">
        <w:rPr>
          <w:rFonts w:eastAsiaTheme="minorHAnsi" w:cs="Arial"/>
        </w:rPr>
        <w:tab/>
      </w:r>
      <w:r w:rsidRPr="00A60118">
        <w:rPr>
          <w:rFonts w:eastAsiaTheme="minorHAnsi" w:cs="Arial"/>
        </w:rPr>
        <w:tab/>
      </w:r>
      <w:r w:rsidRPr="00A60118">
        <w:rPr>
          <w:rFonts w:eastAsiaTheme="minorHAnsi" w:cs="Arial"/>
        </w:rPr>
        <w:tab/>
      </w:r>
      <w:r w:rsidRPr="00A60118">
        <w:rPr>
          <w:rFonts w:eastAsiaTheme="minorHAnsi" w:cs="Arial"/>
        </w:rPr>
        <w:tab/>
      </w:r>
      <w:r w:rsidRPr="00A60118">
        <w:rPr>
          <w:rFonts w:eastAsiaTheme="minorHAnsi" w:cs="Arial"/>
        </w:rPr>
        <w:tab/>
      </w:r>
      <w:r w:rsidRPr="00A60118">
        <w:rPr>
          <w:rFonts w:eastAsiaTheme="minorHAnsi" w:cs="Arial"/>
        </w:rPr>
        <w:tab/>
      </w:r>
      <w:r w:rsidRPr="00A60118">
        <w:rPr>
          <w:rFonts w:eastAsiaTheme="minorHAnsi" w:cs="Arial"/>
        </w:rPr>
        <w:tab/>
      </w:r>
      <w:r w:rsidRPr="00A60118">
        <w:rPr>
          <w:rFonts w:eastAsiaTheme="minorHAnsi" w:cs="Arial"/>
        </w:rPr>
        <w:tab/>
      </w:r>
      <w:r w:rsidRPr="00A60118">
        <w:rPr>
          <w:rFonts w:eastAsiaTheme="minorHAnsi" w:cs="Arial"/>
        </w:rPr>
        <w:tab/>
      </w:r>
      <w:r w:rsidRPr="00A60118">
        <w:rPr>
          <w:rFonts w:eastAsiaTheme="minorHAnsi" w:cs="Arial"/>
        </w:rPr>
        <w:tab/>
      </w:r>
      <w:r w:rsidRPr="00A60118">
        <w:rPr>
          <w:rFonts w:eastAsiaTheme="minorHAnsi" w:cs="Arial"/>
        </w:rPr>
        <w:tab/>
      </w:r>
    </w:p>
    <w:p w14:paraId="4E4F048E" w14:textId="67B6A592" w:rsidR="00A60118" w:rsidRPr="00A60118" w:rsidRDefault="008212C1" w:rsidP="00A60118">
      <w:pPr>
        <w:rPr>
          <w:rFonts w:eastAsiaTheme="minorHAnsi" w:cs="Arial"/>
        </w:rPr>
      </w:pPr>
      <w:r>
        <w:rPr>
          <w:rFonts w:eastAsiaTheme="minorHAnsi" w:cs="Arial"/>
        </w:rPr>
        <w:t>9</w:t>
      </w:r>
      <w:r w:rsidR="00A60118" w:rsidRPr="00A60118">
        <w:rPr>
          <w:rFonts w:eastAsiaTheme="minorHAnsi" w:cs="Arial"/>
        </w:rPr>
        <w:tab/>
        <w:t>Anti-Money Laundering Definition</w:t>
      </w:r>
      <w:r w:rsidR="00A60118">
        <w:rPr>
          <w:rFonts w:eastAsiaTheme="minorHAnsi" w:cs="Arial"/>
        </w:rPr>
        <w:t>…………………………………</w:t>
      </w:r>
      <w:proofErr w:type="gramStart"/>
      <w:r w:rsidR="00A60118">
        <w:rPr>
          <w:rFonts w:eastAsiaTheme="minorHAnsi" w:cs="Arial"/>
        </w:rPr>
        <w:t>…</w:t>
      </w:r>
      <w:r w:rsidR="00E63A0E">
        <w:rPr>
          <w:rFonts w:eastAsiaTheme="minorHAnsi" w:cs="Arial"/>
        </w:rPr>
        <w:t>..</w:t>
      </w:r>
      <w:proofErr w:type="gramEnd"/>
      <w:r w:rsidR="00A60118" w:rsidRPr="00A60118">
        <w:rPr>
          <w:rFonts w:eastAsiaTheme="minorHAnsi" w:cs="Arial"/>
        </w:rPr>
        <w:t>8</w:t>
      </w:r>
    </w:p>
    <w:p w14:paraId="4E4F048F" w14:textId="77777777" w:rsidR="00A60118" w:rsidRPr="00A60118" w:rsidRDefault="00A60118" w:rsidP="00A60118">
      <w:pPr>
        <w:rPr>
          <w:rFonts w:eastAsiaTheme="minorHAnsi" w:cs="Arial"/>
        </w:rPr>
      </w:pPr>
      <w:r w:rsidRPr="00A60118">
        <w:rPr>
          <w:rFonts w:eastAsiaTheme="minorHAnsi" w:cs="Arial"/>
        </w:rPr>
        <w:tab/>
      </w:r>
    </w:p>
    <w:p w14:paraId="4E4F0490" w14:textId="77777777" w:rsidR="00A60118" w:rsidRPr="00A60118" w:rsidRDefault="00A60118" w:rsidP="00A60118">
      <w:pPr>
        <w:rPr>
          <w:rFonts w:eastAsiaTheme="minorHAnsi" w:cs="Arial"/>
        </w:rPr>
      </w:pPr>
      <w:r w:rsidRPr="00A60118">
        <w:rPr>
          <w:rFonts w:eastAsiaTheme="minorHAnsi" w:cs="Arial"/>
        </w:rPr>
        <w:t xml:space="preserve">SECTION C – Anti-Money Laundering Procedures - What You Need </w:t>
      </w:r>
      <w:proofErr w:type="gramStart"/>
      <w:r w:rsidRPr="00A60118">
        <w:rPr>
          <w:rFonts w:eastAsiaTheme="minorHAnsi" w:cs="Arial"/>
        </w:rPr>
        <w:t>To</w:t>
      </w:r>
      <w:proofErr w:type="gramEnd"/>
      <w:r w:rsidRPr="00A60118">
        <w:rPr>
          <w:rFonts w:eastAsiaTheme="minorHAnsi" w:cs="Arial"/>
        </w:rPr>
        <w:t xml:space="preserve"> Do</w:t>
      </w:r>
      <w:r w:rsidRPr="00A60118">
        <w:rPr>
          <w:rFonts w:eastAsiaTheme="minorHAnsi" w:cs="Arial"/>
        </w:rPr>
        <w:tab/>
      </w:r>
      <w:r w:rsidRPr="00A60118">
        <w:rPr>
          <w:rFonts w:eastAsiaTheme="minorHAnsi" w:cs="Arial"/>
        </w:rPr>
        <w:tab/>
      </w:r>
      <w:r w:rsidRPr="00A60118">
        <w:rPr>
          <w:rFonts w:eastAsiaTheme="minorHAnsi" w:cs="Arial"/>
        </w:rPr>
        <w:tab/>
      </w:r>
      <w:r w:rsidRPr="00A60118">
        <w:rPr>
          <w:rFonts w:eastAsiaTheme="minorHAnsi" w:cs="Arial"/>
        </w:rPr>
        <w:tab/>
      </w:r>
      <w:r w:rsidRPr="00A60118">
        <w:rPr>
          <w:rFonts w:eastAsiaTheme="minorHAnsi" w:cs="Arial"/>
        </w:rPr>
        <w:tab/>
      </w:r>
      <w:r w:rsidRPr="00A60118">
        <w:rPr>
          <w:rFonts w:eastAsiaTheme="minorHAnsi" w:cs="Arial"/>
        </w:rPr>
        <w:tab/>
      </w:r>
      <w:r w:rsidRPr="00A60118">
        <w:rPr>
          <w:rFonts w:eastAsiaTheme="minorHAnsi" w:cs="Arial"/>
        </w:rPr>
        <w:tab/>
      </w:r>
    </w:p>
    <w:p w14:paraId="4E4F0491" w14:textId="26B1EA6D" w:rsidR="00A60118" w:rsidRPr="00A60118" w:rsidRDefault="00A60118" w:rsidP="00A60118">
      <w:pPr>
        <w:rPr>
          <w:rFonts w:eastAsiaTheme="minorHAnsi" w:cs="Arial"/>
        </w:rPr>
      </w:pPr>
      <w:r w:rsidRPr="00A60118">
        <w:rPr>
          <w:rFonts w:eastAsiaTheme="minorHAnsi" w:cs="Arial"/>
        </w:rPr>
        <w:t>1</w:t>
      </w:r>
      <w:r w:rsidR="008212C1">
        <w:rPr>
          <w:rFonts w:eastAsiaTheme="minorHAnsi" w:cs="Arial"/>
        </w:rPr>
        <w:t>0</w:t>
      </w:r>
      <w:r w:rsidRPr="00A60118">
        <w:rPr>
          <w:rFonts w:eastAsiaTheme="minorHAnsi" w:cs="Arial"/>
        </w:rPr>
        <w:tab/>
        <w:t>Reporting Suspicions of Money Laundering</w:t>
      </w:r>
      <w:r>
        <w:rPr>
          <w:rFonts w:eastAsiaTheme="minorHAnsi" w:cs="Arial"/>
        </w:rPr>
        <w:t>……………………</w:t>
      </w:r>
      <w:r w:rsidR="00E63A0E">
        <w:rPr>
          <w:rFonts w:eastAsiaTheme="minorHAnsi" w:cs="Arial"/>
        </w:rPr>
        <w:t>…</w:t>
      </w:r>
      <w:r>
        <w:rPr>
          <w:rFonts w:eastAsiaTheme="minorHAnsi" w:cs="Arial"/>
        </w:rPr>
        <w:t>...</w:t>
      </w:r>
      <w:r w:rsidRPr="00A60118">
        <w:rPr>
          <w:rFonts w:eastAsiaTheme="minorHAnsi" w:cs="Arial"/>
        </w:rPr>
        <w:t>10</w:t>
      </w:r>
    </w:p>
    <w:p w14:paraId="4E4F0492" w14:textId="09D1FD43" w:rsidR="00A60118" w:rsidRPr="00A60118" w:rsidRDefault="00A60118" w:rsidP="00A60118">
      <w:pPr>
        <w:rPr>
          <w:rFonts w:eastAsiaTheme="minorHAnsi" w:cs="Arial"/>
        </w:rPr>
      </w:pPr>
      <w:r w:rsidRPr="00A60118">
        <w:rPr>
          <w:rFonts w:eastAsiaTheme="minorHAnsi" w:cs="Arial"/>
        </w:rPr>
        <w:t>1</w:t>
      </w:r>
      <w:r w:rsidR="008212C1">
        <w:rPr>
          <w:rFonts w:eastAsiaTheme="minorHAnsi" w:cs="Arial"/>
        </w:rPr>
        <w:t>1</w:t>
      </w:r>
      <w:r w:rsidRPr="00A60118">
        <w:rPr>
          <w:rFonts w:eastAsiaTheme="minorHAnsi" w:cs="Arial"/>
        </w:rPr>
        <w:tab/>
        <w:t>Record Keeping Procedures</w:t>
      </w:r>
      <w:r>
        <w:rPr>
          <w:rFonts w:eastAsiaTheme="minorHAnsi" w:cs="Arial"/>
        </w:rPr>
        <w:t>…………………………………</w:t>
      </w:r>
      <w:r w:rsidR="00DC6803">
        <w:rPr>
          <w:rFonts w:eastAsiaTheme="minorHAnsi" w:cs="Arial"/>
        </w:rPr>
        <w:t>.</w:t>
      </w:r>
      <w:r>
        <w:rPr>
          <w:rFonts w:eastAsiaTheme="minorHAnsi" w:cs="Arial"/>
        </w:rPr>
        <w:t>……</w:t>
      </w:r>
      <w:r w:rsidR="00E63A0E">
        <w:rPr>
          <w:rFonts w:eastAsiaTheme="minorHAnsi" w:cs="Arial"/>
        </w:rPr>
        <w:t>..</w:t>
      </w:r>
      <w:r>
        <w:rPr>
          <w:rFonts w:eastAsiaTheme="minorHAnsi" w:cs="Arial"/>
        </w:rPr>
        <w:t>..</w:t>
      </w:r>
      <w:r w:rsidRPr="00A60118">
        <w:rPr>
          <w:rFonts w:eastAsiaTheme="minorHAnsi" w:cs="Arial"/>
        </w:rPr>
        <w:t>10</w:t>
      </w:r>
    </w:p>
    <w:p w14:paraId="4E4F0493" w14:textId="583F6CC8" w:rsidR="00A60118" w:rsidRPr="00A60118" w:rsidRDefault="00A60118" w:rsidP="00A60118">
      <w:pPr>
        <w:rPr>
          <w:rFonts w:eastAsiaTheme="minorHAnsi" w:cs="Arial"/>
        </w:rPr>
      </w:pPr>
      <w:r w:rsidRPr="00A60118">
        <w:rPr>
          <w:rFonts w:eastAsiaTheme="minorHAnsi" w:cs="Arial"/>
        </w:rPr>
        <w:t>1</w:t>
      </w:r>
      <w:r w:rsidR="008212C1">
        <w:rPr>
          <w:rFonts w:eastAsiaTheme="minorHAnsi" w:cs="Arial"/>
        </w:rPr>
        <w:t>2</w:t>
      </w:r>
      <w:r w:rsidRPr="00A60118">
        <w:rPr>
          <w:rFonts w:eastAsiaTheme="minorHAnsi" w:cs="Arial"/>
        </w:rPr>
        <w:tab/>
        <w:t>Guidance for Cash Payments</w:t>
      </w:r>
      <w:r>
        <w:rPr>
          <w:rFonts w:eastAsiaTheme="minorHAnsi" w:cs="Arial"/>
        </w:rPr>
        <w:t>……………………………………</w:t>
      </w:r>
      <w:r w:rsidR="00E63A0E">
        <w:rPr>
          <w:rFonts w:eastAsiaTheme="minorHAnsi" w:cs="Arial"/>
        </w:rPr>
        <w:t>….</w:t>
      </w:r>
      <w:r>
        <w:rPr>
          <w:rFonts w:eastAsiaTheme="minorHAnsi" w:cs="Arial"/>
        </w:rPr>
        <w:t>..</w:t>
      </w:r>
      <w:r w:rsidRPr="00A60118">
        <w:rPr>
          <w:rFonts w:eastAsiaTheme="minorHAnsi" w:cs="Arial"/>
        </w:rPr>
        <w:t>10</w:t>
      </w:r>
    </w:p>
    <w:p w14:paraId="4E4F0494" w14:textId="4A5A7193" w:rsidR="00A60118" w:rsidRPr="00A60118" w:rsidRDefault="00A60118" w:rsidP="00A60118">
      <w:pPr>
        <w:rPr>
          <w:rFonts w:eastAsiaTheme="minorHAnsi" w:cs="Arial"/>
        </w:rPr>
      </w:pPr>
      <w:r w:rsidRPr="00A60118">
        <w:rPr>
          <w:rFonts w:eastAsiaTheme="minorHAnsi" w:cs="Arial"/>
        </w:rPr>
        <w:t>1</w:t>
      </w:r>
      <w:r w:rsidR="008212C1">
        <w:rPr>
          <w:rFonts w:eastAsiaTheme="minorHAnsi" w:cs="Arial"/>
        </w:rPr>
        <w:t>3</w:t>
      </w:r>
      <w:r w:rsidRPr="00A60118">
        <w:rPr>
          <w:rFonts w:eastAsiaTheme="minorHAnsi" w:cs="Arial"/>
        </w:rPr>
        <w:tab/>
        <w:t>Further Information</w:t>
      </w:r>
      <w:r>
        <w:rPr>
          <w:rFonts w:eastAsiaTheme="minorHAnsi" w:cs="Arial"/>
        </w:rPr>
        <w:t>…………………………………………</w:t>
      </w:r>
      <w:proofErr w:type="gramStart"/>
      <w:r>
        <w:rPr>
          <w:rFonts w:eastAsiaTheme="minorHAnsi" w:cs="Arial"/>
        </w:rPr>
        <w:t>…</w:t>
      </w:r>
      <w:r w:rsidR="00E63A0E">
        <w:rPr>
          <w:rFonts w:eastAsiaTheme="minorHAnsi" w:cs="Arial"/>
        </w:rPr>
        <w:t>..</w:t>
      </w:r>
      <w:proofErr w:type="gramEnd"/>
      <w:r>
        <w:rPr>
          <w:rFonts w:eastAsiaTheme="minorHAnsi" w:cs="Arial"/>
        </w:rPr>
        <w:t>………</w:t>
      </w:r>
      <w:r w:rsidRPr="00A60118">
        <w:rPr>
          <w:rFonts w:eastAsiaTheme="minorHAnsi" w:cs="Arial"/>
        </w:rPr>
        <w:t>1</w:t>
      </w:r>
      <w:r w:rsidR="009B5B70">
        <w:rPr>
          <w:rFonts w:eastAsiaTheme="minorHAnsi" w:cs="Arial"/>
        </w:rPr>
        <w:t>1</w:t>
      </w:r>
    </w:p>
    <w:p w14:paraId="4E4F0495" w14:textId="77777777" w:rsidR="00A60118" w:rsidRPr="00A60118" w:rsidRDefault="00A60118" w:rsidP="00A60118">
      <w:pPr>
        <w:rPr>
          <w:rFonts w:eastAsiaTheme="minorHAnsi" w:cs="Arial"/>
        </w:rPr>
      </w:pPr>
    </w:p>
    <w:p w14:paraId="4E4F0496" w14:textId="00F34D3B" w:rsidR="00A60118" w:rsidRPr="00A60118" w:rsidRDefault="00A60118" w:rsidP="00A60118">
      <w:pPr>
        <w:rPr>
          <w:rFonts w:eastAsiaTheme="minorHAnsi" w:cs="Arial"/>
        </w:rPr>
      </w:pPr>
      <w:r w:rsidRPr="00A60118">
        <w:rPr>
          <w:rFonts w:eastAsiaTheme="minorHAnsi" w:cs="Arial"/>
        </w:rPr>
        <w:t>Appendix 1 –</w:t>
      </w:r>
      <w:r w:rsidRPr="00A60118">
        <w:rPr>
          <w:rFonts w:eastAsiaTheme="minorHAnsi" w:cs="Arial"/>
        </w:rPr>
        <w:tab/>
        <w:t xml:space="preserve"> Reporting Advice</w:t>
      </w:r>
      <w:r>
        <w:rPr>
          <w:rFonts w:eastAsiaTheme="minorHAnsi" w:cs="Arial"/>
        </w:rPr>
        <w:t>……………………………………</w:t>
      </w:r>
      <w:proofErr w:type="gramStart"/>
      <w:r>
        <w:rPr>
          <w:rFonts w:eastAsiaTheme="minorHAnsi" w:cs="Arial"/>
        </w:rPr>
        <w:t>…</w:t>
      </w:r>
      <w:r w:rsidR="00E63A0E">
        <w:rPr>
          <w:rFonts w:eastAsiaTheme="minorHAnsi" w:cs="Arial"/>
        </w:rPr>
        <w:t>..</w:t>
      </w:r>
      <w:proofErr w:type="gramEnd"/>
      <w:r w:rsidR="00AD2B14">
        <w:rPr>
          <w:rFonts w:eastAsiaTheme="minorHAnsi" w:cs="Arial"/>
        </w:rPr>
        <w:t>…</w:t>
      </w:r>
      <w:r w:rsidR="00E63A0E">
        <w:rPr>
          <w:rFonts w:eastAsiaTheme="minorHAnsi" w:cs="Arial"/>
        </w:rPr>
        <w:t>…</w:t>
      </w:r>
      <w:r>
        <w:rPr>
          <w:rFonts w:eastAsiaTheme="minorHAnsi" w:cs="Arial"/>
        </w:rPr>
        <w:t>...</w:t>
      </w:r>
      <w:r w:rsidRPr="00A60118">
        <w:rPr>
          <w:rFonts w:eastAsiaTheme="minorHAnsi" w:cs="Arial"/>
        </w:rPr>
        <w:t>1</w:t>
      </w:r>
      <w:r w:rsidR="009B5B70">
        <w:rPr>
          <w:rFonts w:eastAsiaTheme="minorHAnsi" w:cs="Arial"/>
        </w:rPr>
        <w:t>2</w:t>
      </w:r>
    </w:p>
    <w:p w14:paraId="4E4F0497" w14:textId="61621B4D" w:rsidR="00A60118" w:rsidRPr="00A60118" w:rsidRDefault="00A60118" w:rsidP="00A60118">
      <w:pPr>
        <w:rPr>
          <w:rFonts w:eastAsiaTheme="minorHAnsi" w:cs="Arial"/>
        </w:rPr>
      </w:pPr>
      <w:r w:rsidRPr="00A60118">
        <w:rPr>
          <w:rFonts w:eastAsiaTheme="minorHAnsi" w:cs="Arial"/>
        </w:rPr>
        <w:t>Appendix 2 –</w:t>
      </w:r>
      <w:r w:rsidRPr="00A60118">
        <w:rPr>
          <w:rFonts w:eastAsiaTheme="minorHAnsi" w:cs="Arial"/>
        </w:rPr>
        <w:tab/>
        <w:t xml:space="preserve"> Reporting Suspicions Flowchart</w:t>
      </w:r>
      <w:r>
        <w:rPr>
          <w:rFonts w:eastAsiaTheme="minorHAnsi" w:cs="Arial"/>
        </w:rPr>
        <w:t>………………………</w:t>
      </w:r>
      <w:r w:rsidR="00E63A0E">
        <w:rPr>
          <w:rFonts w:eastAsiaTheme="minorHAnsi" w:cs="Arial"/>
        </w:rPr>
        <w:t>……</w:t>
      </w:r>
      <w:r>
        <w:rPr>
          <w:rFonts w:eastAsiaTheme="minorHAnsi" w:cs="Arial"/>
        </w:rPr>
        <w:t>…</w:t>
      </w:r>
      <w:proofErr w:type="gramStart"/>
      <w:r w:rsidRPr="00A60118">
        <w:rPr>
          <w:rFonts w:eastAsiaTheme="minorHAnsi" w:cs="Arial"/>
        </w:rPr>
        <w:t>1</w:t>
      </w:r>
      <w:r w:rsidR="009B5B70">
        <w:rPr>
          <w:rFonts w:eastAsiaTheme="minorHAnsi" w:cs="Arial"/>
        </w:rPr>
        <w:t>7</w:t>
      </w:r>
      <w:proofErr w:type="gramEnd"/>
    </w:p>
    <w:p w14:paraId="4E4F0498" w14:textId="67F27062" w:rsidR="00A60118" w:rsidRPr="00A60118" w:rsidRDefault="00A60118" w:rsidP="00A60118">
      <w:pPr>
        <w:rPr>
          <w:rFonts w:eastAsiaTheme="minorHAnsi" w:cs="Arial"/>
        </w:rPr>
      </w:pPr>
      <w:r w:rsidRPr="00A60118">
        <w:rPr>
          <w:rFonts w:eastAsiaTheme="minorHAnsi" w:cs="Arial"/>
        </w:rPr>
        <w:t xml:space="preserve">Appendix 3 </w:t>
      </w:r>
      <w:proofErr w:type="gramStart"/>
      <w:r w:rsidRPr="00A60118">
        <w:rPr>
          <w:rFonts w:eastAsiaTheme="minorHAnsi" w:cs="Arial"/>
        </w:rPr>
        <w:t>-  Report</w:t>
      </w:r>
      <w:proofErr w:type="gramEnd"/>
      <w:r w:rsidRPr="00A60118">
        <w:rPr>
          <w:rFonts w:eastAsiaTheme="minorHAnsi" w:cs="Arial"/>
        </w:rPr>
        <w:t xml:space="preserve"> to Money Laundering Reporting Officer form</w:t>
      </w:r>
      <w:r>
        <w:rPr>
          <w:rFonts w:eastAsiaTheme="minorHAnsi" w:cs="Arial"/>
        </w:rPr>
        <w:t>…</w:t>
      </w:r>
      <w:r w:rsidR="00E63A0E">
        <w:rPr>
          <w:rFonts w:eastAsiaTheme="minorHAnsi" w:cs="Arial"/>
        </w:rPr>
        <w:t>……</w:t>
      </w:r>
      <w:r>
        <w:rPr>
          <w:rFonts w:eastAsiaTheme="minorHAnsi" w:cs="Arial"/>
        </w:rPr>
        <w:t>.1</w:t>
      </w:r>
      <w:r w:rsidR="009B5B70">
        <w:rPr>
          <w:rFonts w:eastAsiaTheme="minorHAnsi" w:cs="Arial"/>
        </w:rPr>
        <w:t>8</w:t>
      </w:r>
    </w:p>
    <w:p w14:paraId="4E4F0499" w14:textId="77777777" w:rsidR="00A60118" w:rsidRPr="00A60118" w:rsidRDefault="00A60118" w:rsidP="00A60118">
      <w:pPr>
        <w:rPr>
          <w:rFonts w:eastAsiaTheme="minorHAnsi" w:cs="Arial"/>
        </w:rPr>
      </w:pPr>
    </w:p>
    <w:p w14:paraId="4E4F049A" w14:textId="77777777" w:rsidR="00D24006" w:rsidRDefault="00D24006" w:rsidP="00917DC4">
      <w:pPr>
        <w:pStyle w:val="TOC1"/>
        <w:tabs>
          <w:tab w:val="right" w:leader="dot" w:pos="9038"/>
        </w:tabs>
        <w:jc w:val="center"/>
        <w:outlineLvl w:val="0"/>
        <w:rPr>
          <w:rFonts w:cs="Arial"/>
          <w:b/>
          <w:caps w:val="0"/>
          <w:sz w:val="24"/>
          <w:szCs w:val="24"/>
        </w:rPr>
      </w:pPr>
    </w:p>
    <w:p w14:paraId="4E4F049B" w14:textId="77777777" w:rsidR="00A60118" w:rsidRDefault="00A60118" w:rsidP="00A60118"/>
    <w:p w14:paraId="4E4F049C" w14:textId="77777777" w:rsidR="00A60118" w:rsidRDefault="00A60118" w:rsidP="00A60118"/>
    <w:p w14:paraId="4E4F049D" w14:textId="77777777" w:rsidR="00A60118" w:rsidRDefault="00A60118" w:rsidP="00A60118"/>
    <w:p w14:paraId="4E4F049E" w14:textId="77777777" w:rsidR="00A60118" w:rsidRDefault="00A60118" w:rsidP="00A60118"/>
    <w:p w14:paraId="4E4F049F" w14:textId="77777777" w:rsidR="00A60118" w:rsidRDefault="00A60118" w:rsidP="00A60118"/>
    <w:p w14:paraId="4E4F04A0" w14:textId="77777777" w:rsidR="00A60118" w:rsidRDefault="00A60118" w:rsidP="00A60118"/>
    <w:p w14:paraId="4E4F04A1" w14:textId="77777777" w:rsidR="00A60118" w:rsidRDefault="00A60118" w:rsidP="00A60118"/>
    <w:p w14:paraId="4E4F04A2" w14:textId="77777777" w:rsidR="00A60118" w:rsidRDefault="00A60118" w:rsidP="00A60118"/>
    <w:p w14:paraId="4E4F04A3" w14:textId="77777777" w:rsidR="00A60118" w:rsidRDefault="00A60118" w:rsidP="00A60118"/>
    <w:p w14:paraId="4E4F04A4" w14:textId="77777777" w:rsidR="00A60118" w:rsidRDefault="00A60118" w:rsidP="00A60118"/>
    <w:p w14:paraId="4E4F04A5" w14:textId="77777777" w:rsidR="00A60118" w:rsidRDefault="00A60118" w:rsidP="00A60118"/>
    <w:p w14:paraId="4E4F04A6" w14:textId="77777777" w:rsidR="00A60118" w:rsidRPr="00A60118" w:rsidRDefault="00A60118" w:rsidP="00A60118"/>
    <w:p w14:paraId="4E4F04A7" w14:textId="77777777" w:rsidR="00D346E8" w:rsidRPr="001724A0" w:rsidRDefault="00D346E8" w:rsidP="00917DC4">
      <w:pPr>
        <w:pStyle w:val="Heading1"/>
        <w:jc w:val="center"/>
        <w:rPr>
          <w:rFonts w:cs="Arial"/>
          <w:color w:val="auto"/>
        </w:rPr>
      </w:pPr>
      <w:bookmarkStart w:id="1" w:name="_Toc510540500"/>
      <w:bookmarkStart w:id="2" w:name="_Toc532466641"/>
      <w:bookmarkStart w:id="3" w:name="_Toc345328175"/>
      <w:bookmarkEnd w:id="0"/>
      <w:r w:rsidRPr="001724A0">
        <w:rPr>
          <w:rFonts w:cs="Arial"/>
          <w:color w:val="auto"/>
        </w:rPr>
        <w:lastRenderedPageBreak/>
        <w:t>Section A</w:t>
      </w:r>
      <w:bookmarkEnd w:id="1"/>
      <w:r w:rsidR="00CD173F" w:rsidRPr="001724A0">
        <w:rPr>
          <w:rFonts w:cs="Arial"/>
          <w:color w:val="auto"/>
        </w:rPr>
        <w:t xml:space="preserve"> </w:t>
      </w:r>
      <w:r w:rsidR="009C1733" w:rsidRPr="001724A0">
        <w:rPr>
          <w:rFonts w:cs="Arial"/>
          <w:color w:val="auto"/>
        </w:rPr>
        <w:t>–</w:t>
      </w:r>
      <w:r w:rsidR="00CD173F" w:rsidRPr="001724A0">
        <w:rPr>
          <w:rFonts w:cs="Arial"/>
          <w:color w:val="auto"/>
        </w:rPr>
        <w:t xml:space="preserve"> </w:t>
      </w:r>
      <w:r w:rsidR="00D24006" w:rsidRPr="001724A0">
        <w:rPr>
          <w:rFonts w:cs="Arial"/>
          <w:color w:val="auto"/>
        </w:rPr>
        <w:t>Anti-Money Laundering</w:t>
      </w:r>
      <w:r w:rsidR="009C1733" w:rsidRPr="001724A0">
        <w:rPr>
          <w:rFonts w:cs="Arial"/>
          <w:color w:val="auto"/>
        </w:rPr>
        <w:t xml:space="preserve"> Policy</w:t>
      </w:r>
      <w:bookmarkEnd w:id="2"/>
    </w:p>
    <w:p w14:paraId="4E4F04A8" w14:textId="77777777" w:rsidR="008832D0" w:rsidRPr="001724A0" w:rsidRDefault="004C4B65" w:rsidP="00E81515">
      <w:pPr>
        <w:pStyle w:val="Heading1"/>
        <w:numPr>
          <w:ilvl w:val="0"/>
          <w:numId w:val="2"/>
        </w:numPr>
        <w:ind w:left="709" w:hanging="709"/>
        <w:rPr>
          <w:rFonts w:cs="Arial"/>
          <w:color w:val="auto"/>
        </w:rPr>
      </w:pPr>
      <w:bookmarkStart w:id="4" w:name="_Toc510540501"/>
      <w:bookmarkStart w:id="5" w:name="_Toc532466642"/>
      <w:bookmarkEnd w:id="3"/>
      <w:r w:rsidRPr="001724A0">
        <w:rPr>
          <w:rFonts w:cs="Arial"/>
          <w:color w:val="auto"/>
        </w:rPr>
        <w:t>Introduction</w:t>
      </w:r>
      <w:bookmarkEnd w:id="4"/>
      <w:bookmarkEnd w:id="5"/>
      <w:r w:rsidR="008832D0" w:rsidRPr="001724A0">
        <w:rPr>
          <w:rStyle w:val="Heading1Char"/>
          <w:rFonts w:cs="Arial"/>
          <w:b/>
          <w:bCs/>
          <w:color w:val="auto"/>
          <w:lang w:eastAsia="en-US"/>
        </w:rPr>
        <w:br/>
      </w:r>
    </w:p>
    <w:p w14:paraId="4E4F04A9" w14:textId="77777777" w:rsidR="00C5613A" w:rsidRPr="001724A0" w:rsidRDefault="00D24006" w:rsidP="00E81515">
      <w:pPr>
        <w:pStyle w:val="ListParagraph"/>
        <w:numPr>
          <w:ilvl w:val="1"/>
          <w:numId w:val="2"/>
        </w:numPr>
        <w:ind w:left="709" w:hanging="709"/>
        <w:rPr>
          <w:rFonts w:cs="Arial"/>
        </w:rPr>
      </w:pPr>
      <w:r w:rsidRPr="001724A0">
        <w:rPr>
          <w:rFonts w:cs="Arial"/>
        </w:rPr>
        <w:t xml:space="preserve">In carrying out their functions and responsibilities, Oxford City Council wishes to promote a culture of openness and fairness and expect all those who work for and with the </w:t>
      </w:r>
      <w:r w:rsidR="006C6EE7">
        <w:rPr>
          <w:rFonts w:cs="Arial"/>
        </w:rPr>
        <w:t>Council</w:t>
      </w:r>
      <w:r w:rsidRPr="001724A0">
        <w:rPr>
          <w:rFonts w:cs="Arial"/>
        </w:rPr>
        <w:t xml:space="preserve"> to adopt the highest standards of propriety and accountability</w:t>
      </w:r>
      <w:r w:rsidR="006C6EE7">
        <w:rPr>
          <w:rFonts w:cs="Arial"/>
        </w:rPr>
        <w:t>.</w:t>
      </w:r>
    </w:p>
    <w:p w14:paraId="4E4F04AA" w14:textId="77777777" w:rsidR="004D06BB" w:rsidRPr="001724A0" w:rsidRDefault="004D06BB" w:rsidP="00183A4C">
      <w:pPr>
        <w:pStyle w:val="ListParagraph"/>
        <w:spacing w:before="100" w:beforeAutospacing="1" w:after="100" w:afterAutospacing="1"/>
        <w:ind w:left="709" w:hanging="709"/>
        <w:rPr>
          <w:rFonts w:cs="Arial"/>
          <w:lang w:eastAsia="en-GB"/>
        </w:rPr>
      </w:pPr>
    </w:p>
    <w:p w14:paraId="4E4F04AB" w14:textId="77777777" w:rsidR="004D06BB" w:rsidRPr="001724A0" w:rsidRDefault="004D06BB" w:rsidP="00E81515">
      <w:pPr>
        <w:pStyle w:val="ListParagraph"/>
        <w:numPr>
          <w:ilvl w:val="1"/>
          <w:numId w:val="2"/>
        </w:numPr>
        <w:ind w:left="709" w:hanging="709"/>
        <w:rPr>
          <w:rFonts w:cs="Arial"/>
        </w:rPr>
      </w:pPr>
      <w:r w:rsidRPr="001724A0">
        <w:rPr>
          <w:rFonts w:cs="Arial"/>
        </w:rPr>
        <w:t>The purpose of this policy is to clearly state the duty and responsibil</w:t>
      </w:r>
      <w:r w:rsidR="004C195B" w:rsidRPr="001724A0">
        <w:rPr>
          <w:rFonts w:cs="Arial"/>
        </w:rPr>
        <w:t xml:space="preserve">ities of all Council </w:t>
      </w:r>
      <w:r w:rsidR="00123432" w:rsidRPr="001724A0">
        <w:rPr>
          <w:rFonts w:cs="Arial"/>
        </w:rPr>
        <w:t>employees, members and volunteers</w:t>
      </w:r>
      <w:r w:rsidR="004C195B" w:rsidRPr="001724A0">
        <w:rPr>
          <w:rFonts w:cs="Arial"/>
        </w:rPr>
        <w:t xml:space="preserve"> </w:t>
      </w:r>
      <w:r w:rsidRPr="001724A0">
        <w:rPr>
          <w:rFonts w:cs="Arial"/>
        </w:rPr>
        <w:t xml:space="preserve">working </w:t>
      </w:r>
      <w:r w:rsidR="004C195B" w:rsidRPr="001724A0">
        <w:rPr>
          <w:rFonts w:cs="Arial"/>
        </w:rPr>
        <w:t xml:space="preserve">for or </w:t>
      </w:r>
      <w:r w:rsidRPr="001724A0">
        <w:rPr>
          <w:rFonts w:cs="Arial"/>
        </w:rPr>
        <w:t xml:space="preserve">on behalf of Oxford City Council in relation to </w:t>
      </w:r>
      <w:r w:rsidR="00A5135A" w:rsidRPr="001724A0">
        <w:rPr>
          <w:rFonts w:cs="Arial"/>
        </w:rPr>
        <w:t>anti-money laundering</w:t>
      </w:r>
      <w:r w:rsidR="006C6EE7">
        <w:rPr>
          <w:rFonts w:cs="Arial"/>
        </w:rPr>
        <w:t>.</w:t>
      </w:r>
    </w:p>
    <w:p w14:paraId="4E4F04AC" w14:textId="77777777" w:rsidR="004D06BB" w:rsidRPr="001724A0" w:rsidRDefault="004D06BB" w:rsidP="00183A4C">
      <w:pPr>
        <w:pStyle w:val="ListParagraph"/>
        <w:ind w:left="709" w:hanging="709"/>
        <w:rPr>
          <w:rFonts w:cs="Arial"/>
        </w:rPr>
      </w:pPr>
    </w:p>
    <w:p w14:paraId="4E4F04AD" w14:textId="23F5B944" w:rsidR="009621F3" w:rsidRPr="001724A0" w:rsidRDefault="0072132B" w:rsidP="00E81515">
      <w:pPr>
        <w:pStyle w:val="ListParagraph"/>
        <w:numPr>
          <w:ilvl w:val="1"/>
          <w:numId w:val="2"/>
        </w:numPr>
        <w:ind w:left="709" w:hanging="709"/>
        <w:rPr>
          <w:rFonts w:cs="Arial"/>
        </w:rPr>
      </w:pPr>
      <w:r w:rsidRPr="001724A0">
        <w:rPr>
          <w:rFonts w:cs="Arial"/>
        </w:rPr>
        <w:t xml:space="preserve">This policy supports the </w:t>
      </w:r>
      <w:r w:rsidR="0063194C" w:rsidRPr="001724A0">
        <w:rPr>
          <w:rFonts w:cs="Arial"/>
        </w:rPr>
        <w:t xml:space="preserve">Oxford City Council </w:t>
      </w:r>
      <w:r w:rsidR="00CF0C1A">
        <w:rPr>
          <w:rFonts w:cs="Arial"/>
        </w:rPr>
        <w:t>Strategy 2</w:t>
      </w:r>
      <w:r w:rsidR="00901F97">
        <w:rPr>
          <w:rFonts w:cs="Arial"/>
        </w:rPr>
        <w:t>0</w:t>
      </w:r>
      <w:r w:rsidR="00CF0C1A">
        <w:rPr>
          <w:rFonts w:cs="Arial"/>
        </w:rPr>
        <w:t>24-20</w:t>
      </w:r>
      <w:r w:rsidR="000A495B">
        <w:rPr>
          <w:rFonts w:cs="Arial"/>
        </w:rPr>
        <w:t xml:space="preserve">28 </w:t>
      </w:r>
      <w:r w:rsidRPr="001724A0">
        <w:rPr>
          <w:rFonts w:cs="Arial"/>
        </w:rPr>
        <w:t xml:space="preserve">objective </w:t>
      </w:r>
      <w:r w:rsidR="000A495B">
        <w:rPr>
          <w:rFonts w:cs="Arial"/>
        </w:rPr>
        <w:t>of a Well-run council</w:t>
      </w:r>
      <w:r w:rsidR="008C246D">
        <w:rPr>
          <w:rFonts w:cs="Arial"/>
        </w:rPr>
        <w:t xml:space="preserve"> It has been updated</w:t>
      </w:r>
      <w:r w:rsidR="005D56FF">
        <w:rPr>
          <w:rFonts w:cs="Arial"/>
        </w:rPr>
        <w:t xml:space="preserve"> to reflect changes </w:t>
      </w:r>
      <w:r w:rsidR="00974C6B">
        <w:t>under the Sanctions and Anti-Money Laundering Act 2018, Criminal Finances Act 2017, and Money Laundering, Terrorist Financing and Transfer of Funds (Amendment) Regulations 2020</w:t>
      </w:r>
    </w:p>
    <w:p w14:paraId="4E4F04AE" w14:textId="77777777" w:rsidR="004D06BB" w:rsidRPr="001724A0" w:rsidRDefault="005C710F" w:rsidP="00E81515">
      <w:pPr>
        <w:pStyle w:val="Heading1"/>
        <w:numPr>
          <w:ilvl w:val="0"/>
          <w:numId w:val="2"/>
        </w:numPr>
        <w:ind w:left="709" w:hanging="709"/>
        <w:rPr>
          <w:rFonts w:cs="Arial"/>
          <w:color w:val="auto"/>
        </w:rPr>
      </w:pPr>
      <w:bookmarkStart w:id="6" w:name="_Toc510540502"/>
      <w:bookmarkStart w:id="7" w:name="_Toc532466643"/>
      <w:r w:rsidRPr="001724A0">
        <w:rPr>
          <w:rFonts w:cs="Arial"/>
          <w:color w:val="auto"/>
        </w:rPr>
        <w:t>A</w:t>
      </w:r>
      <w:r w:rsidR="00D346E8" w:rsidRPr="001724A0">
        <w:rPr>
          <w:rFonts w:cs="Arial"/>
          <w:color w:val="auto"/>
        </w:rPr>
        <w:t>im</w:t>
      </w:r>
      <w:bookmarkEnd w:id="6"/>
      <w:r w:rsidR="00E71829" w:rsidRPr="001724A0">
        <w:rPr>
          <w:rFonts w:cs="Arial"/>
          <w:color w:val="auto"/>
        </w:rPr>
        <w:t>s</w:t>
      </w:r>
      <w:bookmarkEnd w:id="7"/>
    </w:p>
    <w:p w14:paraId="4E4F04AF" w14:textId="77777777" w:rsidR="00C134F6" w:rsidRPr="001724A0" w:rsidRDefault="00C134F6" w:rsidP="00183A4C">
      <w:pPr>
        <w:pStyle w:val="ListParagraph"/>
        <w:autoSpaceDE w:val="0"/>
        <w:autoSpaceDN w:val="0"/>
        <w:adjustRightInd w:val="0"/>
        <w:spacing w:after="120"/>
        <w:ind w:left="709" w:hanging="709"/>
        <w:rPr>
          <w:rFonts w:cs="Arial"/>
        </w:rPr>
      </w:pPr>
    </w:p>
    <w:p w14:paraId="4E4F04B0" w14:textId="77777777" w:rsidR="00713085" w:rsidRPr="001724A0" w:rsidRDefault="00713085" w:rsidP="00713085">
      <w:pPr>
        <w:pStyle w:val="ListParagraph"/>
        <w:autoSpaceDE w:val="0"/>
        <w:autoSpaceDN w:val="0"/>
        <w:adjustRightInd w:val="0"/>
        <w:spacing w:after="120"/>
        <w:ind w:left="709"/>
        <w:rPr>
          <w:rFonts w:cs="Arial"/>
        </w:rPr>
      </w:pPr>
      <w:r w:rsidRPr="001724A0">
        <w:rPr>
          <w:rFonts w:cs="Arial"/>
        </w:rPr>
        <w:t xml:space="preserve">Through this policy </w:t>
      </w:r>
      <w:r w:rsidR="001B69A3" w:rsidRPr="001724A0">
        <w:rPr>
          <w:rFonts w:cs="Arial"/>
        </w:rPr>
        <w:t>and associated procedures</w:t>
      </w:r>
      <w:r w:rsidRPr="001724A0">
        <w:rPr>
          <w:rFonts w:cs="Arial"/>
        </w:rPr>
        <w:t xml:space="preserve">, Oxford City Council aims </w:t>
      </w:r>
      <w:proofErr w:type="gramStart"/>
      <w:r w:rsidRPr="001724A0">
        <w:rPr>
          <w:rFonts w:cs="Arial"/>
        </w:rPr>
        <w:t>to;</w:t>
      </w:r>
      <w:proofErr w:type="gramEnd"/>
    </w:p>
    <w:p w14:paraId="4E4F04B1" w14:textId="77777777" w:rsidR="001238D0" w:rsidRPr="001724A0" w:rsidRDefault="001238D0" w:rsidP="00713085">
      <w:pPr>
        <w:pStyle w:val="ListParagraph"/>
        <w:autoSpaceDE w:val="0"/>
        <w:autoSpaceDN w:val="0"/>
        <w:adjustRightInd w:val="0"/>
        <w:spacing w:after="120"/>
        <w:ind w:left="709"/>
        <w:rPr>
          <w:rFonts w:cs="Arial"/>
        </w:rPr>
      </w:pPr>
    </w:p>
    <w:p w14:paraId="4E4F04B2" w14:textId="77777777" w:rsidR="001238D0" w:rsidRPr="00D86BA3" w:rsidRDefault="001238D0" w:rsidP="00E81515">
      <w:pPr>
        <w:pStyle w:val="ListParagraph"/>
        <w:numPr>
          <w:ilvl w:val="0"/>
          <w:numId w:val="21"/>
        </w:numPr>
        <w:autoSpaceDE w:val="0"/>
        <w:autoSpaceDN w:val="0"/>
        <w:adjustRightInd w:val="0"/>
        <w:spacing w:after="120"/>
        <w:rPr>
          <w:rFonts w:cs="Arial"/>
        </w:rPr>
      </w:pPr>
      <w:r w:rsidRPr="00D86BA3">
        <w:t>Meet anti-money laundering legal requirements and associated regulations</w:t>
      </w:r>
      <w:r w:rsidR="00D86BA3">
        <w:t>.</w:t>
      </w:r>
    </w:p>
    <w:p w14:paraId="4E4F04B3" w14:textId="77777777" w:rsidR="001238D0" w:rsidRPr="00D86BA3" w:rsidRDefault="001238D0" w:rsidP="001238D0">
      <w:pPr>
        <w:pStyle w:val="ListParagraph"/>
        <w:autoSpaceDE w:val="0"/>
        <w:autoSpaceDN w:val="0"/>
        <w:adjustRightInd w:val="0"/>
        <w:spacing w:after="120"/>
        <w:ind w:left="709"/>
        <w:rPr>
          <w:rFonts w:cs="Arial"/>
        </w:rPr>
      </w:pPr>
    </w:p>
    <w:p w14:paraId="4E4F04B4" w14:textId="77777777" w:rsidR="001238D0" w:rsidRPr="00D86BA3" w:rsidRDefault="006C6EE7" w:rsidP="00E81515">
      <w:pPr>
        <w:pStyle w:val="ListParagraph"/>
        <w:numPr>
          <w:ilvl w:val="0"/>
          <w:numId w:val="21"/>
        </w:numPr>
        <w:autoSpaceDE w:val="0"/>
        <w:autoSpaceDN w:val="0"/>
        <w:adjustRightInd w:val="0"/>
        <w:spacing w:after="120"/>
        <w:rPr>
          <w:rFonts w:cs="Arial"/>
        </w:rPr>
      </w:pPr>
      <w:r>
        <w:t xml:space="preserve">Ensure </w:t>
      </w:r>
      <w:r w:rsidR="001238D0" w:rsidRPr="00D86BA3">
        <w:t xml:space="preserve">staff </w:t>
      </w:r>
      <w:r>
        <w:t xml:space="preserve">are </w:t>
      </w:r>
      <w:r w:rsidR="001238D0" w:rsidRPr="00D86BA3">
        <w:t>aware and understand the A</w:t>
      </w:r>
      <w:r w:rsidR="00CB520D" w:rsidRPr="00D86BA3">
        <w:t>nt</w:t>
      </w:r>
      <w:r w:rsidR="008C552A" w:rsidRPr="00D86BA3">
        <w:t>i</w:t>
      </w:r>
      <w:r w:rsidR="00CB520D" w:rsidRPr="00D86BA3">
        <w:t>-</w:t>
      </w:r>
      <w:r w:rsidR="001238D0" w:rsidRPr="00D86BA3">
        <w:t>M</w:t>
      </w:r>
      <w:r w:rsidR="00CB520D" w:rsidRPr="00D86BA3">
        <w:t xml:space="preserve">oney </w:t>
      </w:r>
      <w:r w:rsidR="001238D0" w:rsidRPr="00D86BA3">
        <w:t>L</w:t>
      </w:r>
      <w:r w:rsidR="00CB520D" w:rsidRPr="00D86BA3">
        <w:t>aundering</w:t>
      </w:r>
      <w:r w:rsidR="001238D0" w:rsidRPr="00D86BA3">
        <w:t xml:space="preserve"> legal requirements, offences</w:t>
      </w:r>
      <w:r>
        <w:t>,</w:t>
      </w:r>
      <w:r w:rsidR="001238D0" w:rsidRPr="00D86BA3">
        <w:t xml:space="preserve"> background</w:t>
      </w:r>
      <w:r>
        <w:t xml:space="preserve">, </w:t>
      </w:r>
      <w:proofErr w:type="gramStart"/>
      <w:r w:rsidR="001238D0" w:rsidRPr="00D86BA3">
        <w:t>process</w:t>
      </w:r>
      <w:proofErr w:type="gramEnd"/>
      <w:r w:rsidR="001238D0" w:rsidRPr="00D86BA3">
        <w:t xml:space="preserve"> and expectations set down in this policy – </w:t>
      </w:r>
      <w:r w:rsidR="00D86BA3">
        <w:t>with</w:t>
      </w:r>
      <w:r w:rsidR="001238D0" w:rsidRPr="00D86BA3">
        <w:t xml:space="preserve"> appropriate support </w:t>
      </w:r>
      <w:r>
        <w:t xml:space="preserve">to ensure that the policy is </w:t>
      </w:r>
      <w:r w:rsidR="008C552A" w:rsidRPr="00D86BA3">
        <w:t xml:space="preserve">complied with. </w:t>
      </w:r>
    </w:p>
    <w:p w14:paraId="4E4F04B5" w14:textId="77777777" w:rsidR="001238D0" w:rsidRPr="00D86BA3" w:rsidRDefault="001238D0" w:rsidP="001238D0">
      <w:pPr>
        <w:pStyle w:val="ListParagraph"/>
        <w:autoSpaceDE w:val="0"/>
        <w:autoSpaceDN w:val="0"/>
        <w:adjustRightInd w:val="0"/>
        <w:spacing w:after="120"/>
        <w:ind w:left="709"/>
        <w:rPr>
          <w:rFonts w:cs="Arial"/>
        </w:rPr>
      </w:pPr>
    </w:p>
    <w:p w14:paraId="4E4F04B6" w14:textId="77777777" w:rsidR="001238D0" w:rsidRPr="00D86BA3" w:rsidRDefault="008C552A" w:rsidP="00E81515">
      <w:pPr>
        <w:pStyle w:val="ListParagraph"/>
        <w:numPr>
          <w:ilvl w:val="0"/>
          <w:numId w:val="21"/>
        </w:numPr>
        <w:autoSpaceDE w:val="0"/>
        <w:autoSpaceDN w:val="0"/>
        <w:adjustRightInd w:val="0"/>
        <w:spacing w:after="120"/>
        <w:rPr>
          <w:rFonts w:cs="Arial"/>
        </w:rPr>
      </w:pPr>
      <w:r w:rsidRPr="00D86BA3">
        <w:t>Ensure</w:t>
      </w:r>
      <w:r w:rsidR="001238D0" w:rsidRPr="00D86BA3">
        <w:t xml:space="preserve"> </w:t>
      </w:r>
      <w:r w:rsidR="006C6EE7">
        <w:t>the Council</w:t>
      </w:r>
      <w:r w:rsidR="001238D0" w:rsidRPr="00D86BA3">
        <w:t xml:space="preserve"> ha</w:t>
      </w:r>
      <w:r w:rsidR="006C6EE7">
        <w:t>s</w:t>
      </w:r>
      <w:r w:rsidR="001238D0" w:rsidRPr="00D86BA3">
        <w:t xml:space="preserve"> robust, risk-based process</w:t>
      </w:r>
      <w:r w:rsidRPr="00D86BA3">
        <w:t>es</w:t>
      </w:r>
      <w:r w:rsidR="001238D0" w:rsidRPr="00D86BA3">
        <w:t xml:space="preserve"> that </w:t>
      </w:r>
      <w:r w:rsidRPr="00D86BA3">
        <w:t>are</w:t>
      </w:r>
      <w:r w:rsidR="001238D0" w:rsidRPr="00D86BA3">
        <w:t xml:space="preserve"> effectively and consistently followed, to understand with whom we are dealing</w:t>
      </w:r>
      <w:r w:rsidRPr="00D86BA3">
        <w:t xml:space="preserve"> and any money laundering risks</w:t>
      </w:r>
      <w:r w:rsidR="006C6EE7">
        <w:t xml:space="preserve"> they may represent.</w:t>
      </w:r>
    </w:p>
    <w:p w14:paraId="4E4F04B7" w14:textId="77777777" w:rsidR="001238D0" w:rsidRPr="00D86BA3" w:rsidRDefault="001238D0" w:rsidP="001238D0">
      <w:pPr>
        <w:pStyle w:val="ListParagraph"/>
        <w:autoSpaceDE w:val="0"/>
        <w:autoSpaceDN w:val="0"/>
        <w:adjustRightInd w:val="0"/>
        <w:spacing w:after="120"/>
        <w:ind w:left="709"/>
        <w:rPr>
          <w:rFonts w:cs="Arial"/>
        </w:rPr>
      </w:pPr>
    </w:p>
    <w:p w14:paraId="4E4F04B8" w14:textId="77777777" w:rsidR="001238D0" w:rsidRPr="00D86BA3" w:rsidRDefault="001238D0" w:rsidP="00E81515">
      <w:pPr>
        <w:pStyle w:val="ListParagraph"/>
        <w:numPr>
          <w:ilvl w:val="0"/>
          <w:numId w:val="21"/>
        </w:numPr>
        <w:autoSpaceDE w:val="0"/>
        <w:autoSpaceDN w:val="0"/>
        <w:adjustRightInd w:val="0"/>
        <w:spacing w:after="120"/>
        <w:rPr>
          <w:rFonts w:cs="Arial"/>
        </w:rPr>
      </w:pPr>
      <w:r w:rsidRPr="00D86BA3">
        <w:t>Ensure money laundering suspicions are proactively and immediately reported</w:t>
      </w:r>
      <w:r w:rsidR="008C552A" w:rsidRPr="00D86BA3">
        <w:t>.</w:t>
      </w:r>
    </w:p>
    <w:p w14:paraId="4E4F04B9" w14:textId="77777777" w:rsidR="001238D0" w:rsidRPr="00D86BA3" w:rsidRDefault="001238D0" w:rsidP="001238D0">
      <w:pPr>
        <w:pStyle w:val="ListParagraph"/>
        <w:autoSpaceDE w:val="0"/>
        <w:autoSpaceDN w:val="0"/>
        <w:adjustRightInd w:val="0"/>
        <w:spacing w:after="120"/>
        <w:ind w:left="709"/>
        <w:rPr>
          <w:rFonts w:cs="Arial"/>
        </w:rPr>
      </w:pPr>
    </w:p>
    <w:p w14:paraId="4E4F04BA" w14:textId="77777777" w:rsidR="001238D0" w:rsidRPr="00D86BA3" w:rsidRDefault="001238D0" w:rsidP="00E81515">
      <w:pPr>
        <w:pStyle w:val="ListParagraph"/>
        <w:numPr>
          <w:ilvl w:val="0"/>
          <w:numId w:val="21"/>
        </w:numPr>
        <w:autoSpaceDE w:val="0"/>
        <w:autoSpaceDN w:val="0"/>
        <w:adjustRightInd w:val="0"/>
        <w:spacing w:after="120"/>
        <w:rPr>
          <w:rFonts w:cs="Arial"/>
        </w:rPr>
      </w:pPr>
      <w:r w:rsidRPr="00D86BA3">
        <w:t>Maintain comprehensive records of anti-money laundering checks and concern</w:t>
      </w:r>
      <w:r w:rsidR="00CB520D" w:rsidRPr="00D86BA3">
        <w:t>s</w:t>
      </w:r>
      <w:r w:rsidR="008C552A" w:rsidRPr="00D86BA3">
        <w:t>.</w:t>
      </w:r>
    </w:p>
    <w:p w14:paraId="4E4F04BB" w14:textId="77777777" w:rsidR="001238D0" w:rsidRPr="00D86BA3" w:rsidRDefault="001238D0" w:rsidP="001238D0">
      <w:pPr>
        <w:pStyle w:val="ListParagraph"/>
        <w:autoSpaceDE w:val="0"/>
        <w:autoSpaceDN w:val="0"/>
        <w:adjustRightInd w:val="0"/>
        <w:spacing w:after="120"/>
        <w:ind w:left="709"/>
        <w:rPr>
          <w:rFonts w:cs="Arial"/>
        </w:rPr>
      </w:pPr>
    </w:p>
    <w:p w14:paraId="4E4F04BC" w14:textId="77777777" w:rsidR="001238D0" w:rsidRPr="00AA5723" w:rsidRDefault="001238D0" w:rsidP="00E81515">
      <w:pPr>
        <w:pStyle w:val="ListParagraph"/>
        <w:numPr>
          <w:ilvl w:val="0"/>
          <w:numId w:val="21"/>
        </w:numPr>
        <w:autoSpaceDE w:val="0"/>
        <w:autoSpaceDN w:val="0"/>
        <w:adjustRightInd w:val="0"/>
        <w:spacing w:after="120"/>
        <w:rPr>
          <w:rFonts w:cs="Arial"/>
        </w:rPr>
      </w:pPr>
      <w:r w:rsidRPr="00D86BA3">
        <w:t xml:space="preserve">Guard against </w:t>
      </w:r>
      <w:r w:rsidR="00CB520D" w:rsidRPr="00D86BA3">
        <w:t>Oxford City Council</w:t>
      </w:r>
      <w:r w:rsidRPr="00D86BA3">
        <w:t xml:space="preserve"> becoming involved in money laundering, </w:t>
      </w:r>
      <w:r w:rsidR="00D86BA3">
        <w:t xml:space="preserve">thereby ensuring the </w:t>
      </w:r>
      <w:r w:rsidRPr="00D86BA3">
        <w:t xml:space="preserve">safeguarding </w:t>
      </w:r>
      <w:r w:rsidR="00D86BA3">
        <w:t xml:space="preserve">of </w:t>
      </w:r>
      <w:r w:rsidRPr="00D86BA3">
        <w:t>public money</w:t>
      </w:r>
      <w:r w:rsidR="00D86BA3">
        <w:t>.</w:t>
      </w:r>
    </w:p>
    <w:p w14:paraId="7DBF3B10" w14:textId="77777777" w:rsidR="00AA5723" w:rsidRPr="00AA5723" w:rsidRDefault="00AA5723" w:rsidP="00D26914">
      <w:pPr>
        <w:pStyle w:val="ListParagraph"/>
        <w:rPr>
          <w:rFonts w:cs="Arial"/>
        </w:rPr>
      </w:pPr>
    </w:p>
    <w:p w14:paraId="379C2EE1" w14:textId="1153C84F" w:rsidR="00AA5723" w:rsidRPr="00D86BA3" w:rsidRDefault="00AA5723" w:rsidP="00E81515">
      <w:pPr>
        <w:pStyle w:val="ListParagraph"/>
        <w:numPr>
          <w:ilvl w:val="0"/>
          <w:numId w:val="21"/>
        </w:numPr>
        <w:autoSpaceDE w:val="0"/>
        <w:autoSpaceDN w:val="0"/>
        <w:adjustRightInd w:val="0"/>
        <w:spacing w:after="120"/>
        <w:rPr>
          <w:rFonts w:cs="Arial"/>
        </w:rPr>
      </w:pPr>
      <w:r>
        <w:rPr>
          <w:rFonts w:cs="Arial"/>
        </w:rPr>
        <w:t>Ensure</w:t>
      </w:r>
      <w:r w:rsidR="00EE511A">
        <w:rPr>
          <w:rFonts w:cs="Arial"/>
        </w:rPr>
        <w:t xml:space="preserve"> </w:t>
      </w:r>
      <w:r w:rsidR="00EE511A">
        <w:t xml:space="preserve">procedures are in place to assess potential money laundering risks in any transactions involving </w:t>
      </w:r>
      <w:proofErr w:type="spellStart"/>
      <w:r w:rsidR="00EE511A">
        <w:t>cryptoassets</w:t>
      </w:r>
      <w:proofErr w:type="spellEnd"/>
      <w:r w:rsidR="00EE511A">
        <w:t>, in compliance with the 2020 regulations.</w:t>
      </w:r>
      <w:r>
        <w:rPr>
          <w:rFonts w:cs="Arial"/>
        </w:rPr>
        <w:t xml:space="preserve"> </w:t>
      </w:r>
    </w:p>
    <w:p w14:paraId="4E4F04BD" w14:textId="77777777" w:rsidR="00713085" w:rsidRPr="001724A0" w:rsidRDefault="00713085" w:rsidP="00183A4C">
      <w:pPr>
        <w:pStyle w:val="ListParagraph"/>
        <w:autoSpaceDE w:val="0"/>
        <w:autoSpaceDN w:val="0"/>
        <w:adjustRightInd w:val="0"/>
        <w:spacing w:after="120"/>
        <w:ind w:left="709" w:hanging="709"/>
        <w:rPr>
          <w:rFonts w:cs="Arial"/>
        </w:rPr>
      </w:pPr>
    </w:p>
    <w:p w14:paraId="4E4F04C0" w14:textId="77777777" w:rsidR="00D346E8" w:rsidRDefault="000C362E" w:rsidP="00E81515">
      <w:pPr>
        <w:pStyle w:val="Heading1"/>
        <w:numPr>
          <w:ilvl w:val="0"/>
          <w:numId w:val="2"/>
        </w:numPr>
        <w:ind w:left="709" w:hanging="709"/>
        <w:rPr>
          <w:rFonts w:cs="Arial"/>
          <w:color w:val="auto"/>
        </w:rPr>
      </w:pPr>
      <w:bookmarkStart w:id="8" w:name="_Toc510540503"/>
      <w:bookmarkStart w:id="9" w:name="_Toc532466644"/>
      <w:r w:rsidRPr="001724A0">
        <w:rPr>
          <w:rFonts w:cs="Arial"/>
          <w:color w:val="auto"/>
        </w:rPr>
        <w:lastRenderedPageBreak/>
        <w:t>O</w:t>
      </w:r>
      <w:r w:rsidR="00D346E8" w:rsidRPr="001724A0">
        <w:rPr>
          <w:rFonts w:cs="Arial"/>
          <w:color w:val="auto"/>
        </w:rPr>
        <w:t>bjectives</w:t>
      </w:r>
      <w:bookmarkEnd w:id="8"/>
      <w:bookmarkEnd w:id="9"/>
      <w:r w:rsidR="0006630B">
        <w:rPr>
          <w:rFonts w:cs="Arial"/>
          <w:color w:val="auto"/>
        </w:rPr>
        <w:t xml:space="preserve"> &amp; Duties</w:t>
      </w:r>
    </w:p>
    <w:p w14:paraId="4E4F04C1" w14:textId="77777777" w:rsidR="001F0344" w:rsidRPr="001F0344" w:rsidRDefault="001F0344" w:rsidP="001F0344">
      <w:pPr>
        <w:rPr>
          <w:lang w:eastAsia="en-GB"/>
        </w:rPr>
      </w:pPr>
    </w:p>
    <w:p w14:paraId="4E4F04C2" w14:textId="77777777" w:rsidR="001F0344" w:rsidRPr="001F0344" w:rsidRDefault="001F0344" w:rsidP="00E81515">
      <w:pPr>
        <w:pStyle w:val="ListParagraph"/>
        <w:numPr>
          <w:ilvl w:val="0"/>
          <w:numId w:val="17"/>
        </w:numPr>
        <w:autoSpaceDE w:val="0"/>
        <w:autoSpaceDN w:val="0"/>
        <w:adjustRightInd w:val="0"/>
        <w:spacing w:before="100" w:beforeAutospacing="1" w:after="100" w:afterAutospacing="1"/>
        <w:rPr>
          <w:rFonts w:eastAsiaTheme="minorHAnsi" w:cs="Arial"/>
          <w:vanish/>
        </w:rPr>
      </w:pPr>
    </w:p>
    <w:p w14:paraId="4E4F04C3" w14:textId="77777777" w:rsidR="001F0344" w:rsidRPr="001F0344" w:rsidRDefault="001F0344" w:rsidP="00E81515">
      <w:pPr>
        <w:pStyle w:val="ListParagraph"/>
        <w:numPr>
          <w:ilvl w:val="0"/>
          <w:numId w:val="17"/>
        </w:numPr>
        <w:autoSpaceDE w:val="0"/>
        <w:autoSpaceDN w:val="0"/>
        <w:adjustRightInd w:val="0"/>
        <w:spacing w:before="100" w:beforeAutospacing="1" w:after="100" w:afterAutospacing="1"/>
        <w:rPr>
          <w:rFonts w:eastAsiaTheme="minorHAnsi" w:cs="Arial"/>
          <w:vanish/>
        </w:rPr>
      </w:pPr>
    </w:p>
    <w:p w14:paraId="4E4F04C4" w14:textId="77777777" w:rsidR="001F0344" w:rsidRPr="001F0344" w:rsidRDefault="001F0344" w:rsidP="00E81515">
      <w:pPr>
        <w:pStyle w:val="ListParagraph"/>
        <w:numPr>
          <w:ilvl w:val="0"/>
          <w:numId w:val="17"/>
        </w:numPr>
        <w:autoSpaceDE w:val="0"/>
        <w:autoSpaceDN w:val="0"/>
        <w:adjustRightInd w:val="0"/>
        <w:spacing w:before="100" w:beforeAutospacing="1" w:after="100" w:afterAutospacing="1"/>
        <w:rPr>
          <w:rFonts w:eastAsiaTheme="minorHAnsi" w:cs="Arial"/>
          <w:vanish/>
        </w:rPr>
      </w:pPr>
    </w:p>
    <w:p w14:paraId="4E4F04C5" w14:textId="79C19623" w:rsidR="005221C9" w:rsidRPr="005221C9" w:rsidRDefault="007C7ABB" w:rsidP="005221C9">
      <w:pPr>
        <w:autoSpaceDE w:val="0"/>
        <w:autoSpaceDN w:val="0"/>
        <w:adjustRightInd w:val="0"/>
        <w:spacing w:before="100" w:beforeAutospacing="1" w:after="100" w:afterAutospacing="1"/>
        <w:rPr>
          <w:rFonts w:eastAsiaTheme="minorHAnsi" w:cs="Arial"/>
        </w:rPr>
      </w:pPr>
      <w:r>
        <w:rPr>
          <w:rFonts w:eastAsiaTheme="minorHAnsi" w:cs="Arial"/>
        </w:rPr>
        <w:tab/>
      </w:r>
      <w:r w:rsidR="0006630B" w:rsidRPr="0006630B">
        <w:rPr>
          <w:rFonts w:eastAsiaTheme="minorHAnsi" w:cs="Arial"/>
        </w:rPr>
        <w:t xml:space="preserve">Not </w:t>
      </w:r>
      <w:proofErr w:type="gramStart"/>
      <w:r w:rsidR="0006630B" w:rsidRPr="0006630B">
        <w:rPr>
          <w:rFonts w:eastAsiaTheme="minorHAnsi" w:cs="Arial"/>
        </w:rPr>
        <w:t>all of</w:t>
      </w:r>
      <w:proofErr w:type="gramEnd"/>
      <w:r w:rsidR="0006630B" w:rsidRPr="0006630B">
        <w:rPr>
          <w:rFonts w:eastAsiaTheme="minorHAnsi" w:cs="Arial"/>
        </w:rPr>
        <w:t xml:space="preserve"> the Oxford City Council’s business is “relevant” as set out in </w:t>
      </w:r>
      <w:r w:rsidR="0006630B" w:rsidRPr="0006630B">
        <w:rPr>
          <w:rFonts w:eastAsiaTheme="minorHAnsi" w:cs="Arial"/>
        </w:rPr>
        <w:tab/>
        <w:t>legislation</w:t>
      </w:r>
      <w:r w:rsidR="009D3299">
        <w:rPr>
          <w:rFonts w:eastAsiaTheme="minorHAnsi" w:cs="Arial"/>
        </w:rPr>
        <w:t>, which is aimed primarily at the regulated sector</w:t>
      </w:r>
      <w:r w:rsidR="0006630B" w:rsidRPr="0006630B">
        <w:rPr>
          <w:rFonts w:eastAsiaTheme="minorHAnsi" w:cs="Arial"/>
        </w:rPr>
        <w:t xml:space="preserve">. It applies mainly </w:t>
      </w:r>
      <w:r w:rsidR="009D3299">
        <w:rPr>
          <w:rFonts w:eastAsiaTheme="minorHAnsi" w:cs="Arial"/>
        </w:rPr>
        <w:tab/>
      </w:r>
      <w:r w:rsidR="0006630B" w:rsidRPr="0006630B">
        <w:rPr>
          <w:rFonts w:eastAsiaTheme="minorHAnsi" w:cs="Arial"/>
        </w:rPr>
        <w:t xml:space="preserve">to the accountancy and audit services carried out by Financial </w:t>
      </w:r>
      <w:r w:rsidR="005221C9" w:rsidRPr="005221C9">
        <w:rPr>
          <w:rFonts w:eastAsiaTheme="minorHAnsi" w:cs="Arial"/>
        </w:rPr>
        <w:t xml:space="preserve">Services and </w:t>
      </w:r>
      <w:r w:rsidR="005221C9" w:rsidRPr="005221C9">
        <w:rPr>
          <w:rFonts w:eastAsiaTheme="minorHAnsi" w:cs="Arial"/>
        </w:rPr>
        <w:tab/>
        <w:t xml:space="preserve">the risk may be at its greatest </w:t>
      </w:r>
      <w:proofErr w:type="gramStart"/>
      <w:r w:rsidR="005221C9" w:rsidRPr="005221C9">
        <w:rPr>
          <w:rFonts w:eastAsiaTheme="minorHAnsi" w:cs="Arial"/>
        </w:rPr>
        <w:t>in regard to</w:t>
      </w:r>
      <w:proofErr w:type="gramEnd"/>
      <w:r w:rsidR="005221C9" w:rsidRPr="005221C9">
        <w:rPr>
          <w:rFonts w:eastAsiaTheme="minorHAnsi" w:cs="Arial"/>
        </w:rPr>
        <w:t xml:space="preserve"> certain property transactions. </w:t>
      </w:r>
      <w:r w:rsidR="005221C9" w:rsidRPr="005221C9">
        <w:rPr>
          <w:rFonts w:eastAsiaTheme="minorHAnsi" w:cs="Arial"/>
        </w:rPr>
        <w:tab/>
        <w:t xml:space="preserve">However, all Council employees should have due regard to this policy, </w:t>
      </w:r>
      <w:r w:rsidR="005221C9" w:rsidRPr="005221C9">
        <w:rPr>
          <w:rFonts w:eastAsiaTheme="minorHAnsi" w:cs="Arial"/>
        </w:rPr>
        <w:tab/>
        <w:t xml:space="preserve">particularly those involve in any type of financial transaction. The purpose </w:t>
      </w:r>
      <w:r w:rsidR="005221C9" w:rsidRPr="005221C9">
        <w:rPr>
          <w:rFonts w:eastAsiaTheme="minorHAnsi" w:cs="Arial"/>
        </w:rPr>
        <w:tab/>
        <w:t xml:space="preserve">of </w:t>
      </w:r>
      <w:r w:rsidR="005221C9" w:rsidRPr="005221C9">
        <w:rPr>
          <w:rFonts w:eastAsiaTheme="minorHAnsi" w:cs="Arial"/>
        </w:rPr>
        <w:tab/>
        <w:t xml:space="preserve">the policy to protect both employees and the </w:t>
      </w:r>
      <w:r w:rsidR="003C6AEB" w:rsidRPr="005221C9">
        <w:rPr>
          <w:rFonts w:eastAsiaTheme="minorHAnsi" w:cs="Arial"/>
        </w:rPr>
        <w:t>organisation and</w:t>
      </w:r>
      <w:r w:rsidR="005221C9" w:rsidRPr="005221C9">
        <w:rPr>
          <w:rFonts w:eastAsiaTheme="minorHAnsi" w:cs="Arial"/>
        </w:rPr>
        <w:t xml:space="preserve"> minimise </w:t>
      </w:r>
      <w:r w:rsidR="005221C9" w:rsidRPr="005221C9">
        <w:rPr>
          <w:rFonts w:eastAsiaTheme="minorHAnsi" w:cs="Arial"/>
        </w:rPr>
        <w:tab/>
        <w:t>legislation.</w:t>
      </w:r>
    </w:p>
    <w:p w14:paraId="4E4F04C6" w14:textId="3C509B75" w:rsidR="001F0344" w:rsidRPr="001F0344" w:rsidRDefault="00DF0FBE" w:rsidP="001F0344">
      <w:pPr>
        <w:autoSpaceDE w:val="0"/>
        <w:autoSpaceDN w:val="0"/>
        <w:adjustRightInd w:val="0"/>
        <w:spacing w:before="100" w:beforeAutospacing="1" w:after="100" w:afterAutospacing="1"/>
        <w:rPr>
          <w:rFonts w:eastAsiaTheme="minorHAnsi" w:cs="Arial"/>
        </w:rPr>
      </w:pPr>
      <w:r>
        <w:rPr>
          <w:rFonts w:eastAsiaTheme="minorHAnsi" w:cs="Arial"/>
        </w:rPr>
        <w:tab/>
      </w:r>
      <w:proofErr w:type="gramStart"/>
      <w:r w:rsidR="00762815" w:rsidRPr="001F0344">
        <w:rPr>
          <w:rFonts w:eastAsiaTheme="minorHAnsi" w:cs="Arial"/>
        </w:rPr>
        <w:t>In order to</w:t>
      </w:r>
      <w:proofErr w:type="gramEnd"/>
      <w:r w:rsidR="00762815" w:rsidRPr="001F0344">
        <w:rPr>
          <w:rFonts w:eastAsiaTheme="minorHAnsi" w:cs="Arial"/>
        </w:rPr>
        <w:t xml:space="preserve"> achieve the aims of this policy</w:t>
      </w:r>
      <w:r>
        <w:rPr>
          <w:rFonts w:eastAsiaTheme="minorHAnsi" w:cs="Arial"/>
        </w:rPr>
        <w:t xml:space="preserve">, and to ensure compliance with </w:t>
      </w:r>
      <w:r>
        <w:rPr>
          <w:rFonts w:eastAsiaTheme="minorHAnsi" w:cs="Arial"/>
        </w:rPr>
        <w:tab/>
      </w:r>
      <w:r w:rsidR="003C6AEB">
        <w:rPr>
          <w:rFonts w:eastAsiaTheme="minorHAnsi" w:cs="Arial"/>
        </w:rPr>
        <w:t xml:space="preserve">legislation, </w:t>
      </w:r>
      <w:r w:rsidR="003C6AEB" w:rsidRPr="001F0344">
        <w:rPr>
          <w:rFonts w:eastAsiaTheme="minorHAnsi" w:cs="Arial"/>
        </w:rPr>
        <w:t>Oxford</w:t>
      </w:r>
      <w:r w:rsidR="00762815" w:rsidRPr="001F0344">
        <w:rPr>
          <w:rFonts w:eastAsiaTheme="minorHAnsi" w:cs="Arial"/>
        </w:rPr>
        <w:t xml:space="preserve"> </w:t>
      </w:r>
      <w:r w:rsidR="001551D2" w:rsidRPr="001F0344">
        <w:rPr>
          <w:rFonts w:eastAsiaTheme="minorHAnsi" w:cs="Arial"/>
        </w:rPr>
        <w:t>C</w:t>
      </w:r>
      <w:r w:rsidR="00762815" w:rsidRPr="001F0344">
        <w:rPr>
          <w:rFonts w:eastAsiaTheme="minorHAnsi" w:cs="Arial"/>
        </w:rPr>
        <w:t xml:space="preserve">ity </w:t>
      </w:r>
      <w:r w:rsidR="001551D2" w:rsidRPr="001F0344">
        <w:rPr>
          <w:rFonts w:eastAsiaTheme="minorHAnsi" w:cs="Arial"/>
        </w:rPr>
        <w:t>C</w:t>
      </w:r>
      <w:r w:rsidR="00762815" w:rsidRPr="001F0344">
        <w:rPr>
          <w:rFonts w:eastAsiaTheme="minorHAnsi" w:cs="Arial"/>
        </w:rPr>
        <w:t xml:space="preserve">ouncil </w:t>
      </w:r>
      <w:r w:rsidR="00815277" w:rsidRPr="001F0344">
        <w:rPr>
          <w:rFonts w:eastAsiaTheme="minorHAnsi" w:cs="Arial"/>
        </w:rPr>
        <w:t xml:space="preserve">the city council </w:t>
      </w:r>
      <w:r w:rsidR="00762815" w:rsidRPr="00D86BA3">
        <w:rPr>
          <w:rFonts w:eastAsiaTheme="minorHAnsi" w:cs="Arial"/>
        </w:rPr>
        <w:t>has</w:t>
      </w:r>
      <w:r w:rsidR="001551D2" w:rsidRPr="00D86BA3">
        <w:rPr>
          <w:rFonts w:eastAsiaTheme="minorHAnsi" w:cs="Arial"/>
        </w:rPr>
        <w:t xml:space="preserve"> establish</w:t>
      </w:r>
      <w:r w:rsidR="00762815" w:rsidRPr="00D86BA3">
        <w:rPr>
          <w:rFonts w:eastAsiaTheme="minorHAnsi" w:cs="Arial"/>
        </w:rPr>
        <w:t>ed</w:t>
      </w:r>
      <w:r w:rsidR="001551D2" w:rsidRPr="001F0344">
        <w:rPr>
          <w:rFonts w:eastAsiaTheme="minorHAnsi" w:cs="Arial"/>
        </w:rPr>
        <w:t xml:space="preserve"> internal </w:t>
      </w:r>
      <w:r>
        <w:rPr>
          <w:rFonts w:eastAsiaTheme="minorHAnsi" w:cs="Arial"/>
        </w:rPr>
        <w:tab/>
      </w:r>
      <w:r w:rsidR="005B5E3B" w:rsidRPr="001F0344">
        <w:rPr>
          <w:rFonts w:eastAsiaTheme="minorHAnsi" w:cs="Arial"/>
        </w:rPr>
        <w:t>processes</w:t>
      </w:r>
      <w:r w:rsidR="0042747B">
        <w:rPr>
          <w:rFonts w:eastAsiaTheme="minorHAnsi" w:cs="Arial"/>
        </w:rPr>
        <w:t xml:space="preserve">, </w:t>
      </w:r>
      <w:r w:rsidR="001551D2" w:rsidRPr="001F0344">
        <w:rPr>
          <w:rFonts w:eastAsiaTheme="minorHAnsi" w:cs="Arial"/>
        </w:rPr>
        <w:t xml:space="preserve">procedures </w:t>
      </w:r>
      <w:r w:rsidR="0042747B">
        <w:rPr>
          <w:rFonts w:eastAsiaTheme="minorHAnsi" w:cs="Arial"/>
        </w:rPr>
        <w:t xml:space="preserve">and duties </w:t>
      </w:r>
      <w:r w:rsidR="001551D2" w:rsidRPr="001F0344">
        <w:rPr>
          <w:rFonts w:eastAsiaTheme="minorHAnsi" w:cs="Arial"/>
        </w:rPr>
        <w:t xml:space="preserve">to prevent the use of its services for </w:t>
      </w:r>
      <w:r w:rsidR="0042747B">
        <w:rPr>
          <w:rFonts w:eastAsiaTheme="minorHAnsi" w:cs="Arial"/>
        </w:rPr>
        <w:tab/>
      </w:r>
      <w:r w:rsidR="001551D2" w:rsidRPr="001F0344">
        <w:rPr>
          <w:rFonts w:eastAsiaTheme="minorHAnsi" w:cs="Arial"/>
        </w:rPr>
        <w:t xml:space="preserve">money laundering. These </w:t>
      </w:r>
      <w:r w:rsidR="00DD2052" w:rsidRPr="001F0344">
        <w:rPr>
          <w:rFonts w:eastAsiaTheme="minorHAnsi" w:cs="Arial"/>
        </w:rPr>
        <w:t>include</w:t>
      </w:r>
      <w:r w:rsidR="001551D2" w:rsidRPr="001F0344">
        <w:rPr>
          <w:rFonts w:eastAsiaTheme="minorHAnsi" w:cs="Arial"/>
        </w:rPr>
        <w:t>:</w:t>
      </w:r>
    </w:p>
    <w:p w14:paraId="4E4F04C7" w14:textId="77777777" w:rsidR="000E78E9" w:rsidRPr="006C6EE7" w:rsidRDefault="005B5E3B" w:rsidP="00E81515">
      <w:pPr>
        <w:pStyle w:val="ListParagraph"/>
        <w:numPr>
          <w:ilvl w:val="0"/>
          <w:numId w:val="22"/>
        </w:numPr>
        <w:autoSpaceDE w:val="0"/>
        <w:autoSpaceDN w:val="0"/>
        <w:adjustRightInd w:val="0"/>
        <w:spacing w:before="100" w:beforeAutospacing="1" w:after="100" w:afterAutospacing="1"/>
        <w:rPr>
          <w:rFonts w:eastAsiaTheme="minorHAnsi" w:cs="Arial"/>
        </w:rPr>
      </w:pPr>
      <w:r w:rsidRPr="006C6EE7">
        <w:rPr>
          <w:rFonts w:cs="Arial"/>
          <w:lang w:eastAsia="en-GB"/>
        </w:rPr>
        <w:t>Clear lines of accountability within the Council for anti-money laundering</w:t>
      </w:r>
    </w:p>
    <w:p w14:paraId="4E4F04C8" w14:textId="77777777" w:rsidR="000E78E9" w:rsidRPr="000E78E9" w:rsidRDefault="000E78E9" w:rsidP="000E78E9">
      <w:pPr>
        <w:pStyle w:val="ListParagraph"/>
        <w:autoSpaceDE w:val="0"/>
        <w:autoSpaceDN w:val="0"/>
        <w:adjustRightInd w:val="0"/>
        <w:spacing w:before="100" w:beforeAutospacing="1" w:after="100" w:afterAutospacing="1"/>
        <w:ind w:left="360"/>
        <w:rPr>
          <w:rFonts w:eastAsiaTheme="minorHAnsi" w:cs="Arial"/>
        </w:rPr>
      </w:pPr>
    </w:p>
    <w:p w14:paraId="4E4F04C9" w14:textId="77777777" w:rsidR="000E78E9" w:rsidRDefault="00762815" w:rsidP="00E81515">
      <w:pPr>
        <w:pStyle w:val="ListParagraph"/>
        <w:numPr>
          <w:ilvl w:val="0"/>
          <w:numId w:val="22"/>
        </w:numPr>
        <w:autoSpaceDE w:val="0"/>
        <w:autoSpaceDN w:val="0"/>
        <w:adjustRightInd w:val="0"/>
        <w:spacing w:before="100" w:beforeAutospacing="1" w:after="100" w:afterAutospacing="1"/>
        <w:rPr>
          <w:rFonts w:eastAsiaTheme="minorHAnsi" w:cs="Arial"/>
        </w:rPr>
      </w:pPr>
      <w:r w:rsidRPr="000E78E9">
        <w:rPr>
          <w:rFonts w:eastAsiaTheme="minorHAnsi" w:cs="Arial"/>
        </w:rPr>
        <w:t>T</w:t>
      </w:r>
      <w:r w:rsidR="005B5E3B" w:rsidRPr="000E78E9">
        <w:rPr>
          <w:rFonts w:eastAsiaTheme="minorHAnsi" w:cs="Arial"/>
        </w:rPr>
        <w:t>he appointment of a Money Laundering Reporting O</w:t>
      </w:r>
      <w:r w:rsidRPr="000E78E9">
        <w:rPr>
          <w:rFonts w:eastAsiaTheme="minorHAnsi" w:cs="Arial"/>
        </w:rPr>
        <w:t>fficer (“MLRO”) to receive disclosures from employees</w:t>
      </w:r>
      <w:r w:rsidR="0042747B">
        <w:rPr>
          <w:rFonts w:eastAsiaTheme="minorHAnsi" w:cs="Arial"/>
        </w:rPr>
        <w:t xml:space="preserve">, </w:t>
      </w:r>
      <w:proofErr w:type="gramStart"/>
      <w:r w:rsidR="0042747B">
        <w:rPr>
          <w:rFonts w:eastAsiaTheme="minorHAnsi" w:cs="Arial"/>
        </w:rPr>
        <w:t>contractors</w:t>
      </w:r>
      <w:proofErr w:type="gramEnd"/>
      <w:r w:rsidR="0042747B">
        <w:rPr>
          <w:rFonts w:eastAsiaTheme="minorHAnsi" w:cs="Arial"/>
        </w:rPr>
        <w:t xml:space="preserve"> and Members</w:t>
      </w:r>
      <w:r w:rsidRPr="000E78E9">
        <w:rPr>
          <w:rFonts w:eastAsiaTheme="minorHAnsi" w:cs="Arial"/>
        </w:rPr>
        <w:t xml:space="preserve"> of</w:t>
      </w:r>
      <w:r w:rsidR="0042747B">
        <w:rPr>
          <w:rFonts w:eastAsiaTheme="minorHAnsi" w:cs="Arial"/>
        </w:rPr>
        <w:t xml:space="preserve"> suspected</w:t>
      </w:r>
      <w:r w:rsidRPr="000E78E9">
        <w:rPr>
          <w:rFonts w:eastAsiaTheme="minorHAnsi" w:cs="Arial"/>
        </w:rPr>
        <w:t xml:space="preserve"> money laundering activity</w:t>
      </w:r>
      <w:bookmarkStart w:id="10" w:name="_Toc510540512"/>
      <w:r w:rsidR="0075670B">
        <w:rPr>
          <w:rFonts w:eastAsiaTheme="minorHAnsi" w:cs="Arial"/>
        </w:rPr>
        <w:t xml:space="preserve">. </w:t>
      </w:r>
    </w:p>
    <w:p w14:paraId="4E4F04CA" w14:textId="77777777" w:rsidR="000E78E9" w:rsidRDefault="000E78E9" w:rsidP="000E78E9">
      <w:pPr>
        <w:pStyle w:val="ListParagraph"/>
        <w:autoSpaceDE w:val="0"/>
        <w:autoSpaceDN w:val="0"/>
        <w:adjustRightInd w:val="0"/>
        <w:spacing w:before="100" w:beforeAutospacing="1" w:after="100" w:afterAutospacing="1"/>
        <w:ind w:left="360"/>
        <w:rPr>
          <w:rFonts w:eastAsiaTheme="minorHAnsi" w:cs="Arial"/>
        </w:rPr>
      </w:pPr>
    </w:p>
    <w:p w14:paraId="4E4F04CB" w14:textId="77777777" w:rsidR="000E78E9" w:rsidRPr="000E78E9" w:rsidRDefault="00256838" w:rsidP="00E81515">
      <w:pPr>
        <w:pStyle w:val="ListParagraph"/>
        <w:numPr>
          <w:ilvl w:val="0"/>
          <w:numId w:val="22"/>
        </w:numPr>
        <w:autoSpaceDE w:val="0"/>
        <w:autoSpaceDN w:val="0"/>
        <w:adjustRightInd w:val="0"/>
        <w:spacing w:before="100" w:beforeAutospacing="1" w:after="100" w:afterAutospacing="1"/>
        <w:rPr>
          <w:rFonts w:eastAsiaTheme="minorHAnsi" w:cs="Arial"/>
        </w:rPr>
      </w:pPr>
      <w:r w:rsidRPr="000E78E9">
        <w:rPr>
          <w:rFonts w:cs="Arial"/>
        </w:rPr>
        <w:t xml:space="preserve">A documented process to require the reporting of suspicions of money laundering. </w:t>
      </w:r>
    </w:p>
    <w:p w14:paraId="4E4F04CC" w14:textId="77777777" w:rsidR="000E78E9" w:rsidRPr="000E78E9" w:rsidRDefault="000E78E9" w:rsidP="000E78E9">
      <w:pPr>
        <w:pStyle w:val="ListParagraph"/>
        <w:autoSpaceDE w:val="0"/>
        <w:autoSpaceDN w:val="0"/>
        <w:adjustRightInd w:val="0"/>
        <w:spacing w:before="100" w:beforeAutospacing="1" w:after="100" w:afterAutospacing="1"/>
        <w:ind w:left="360"/>
        <w:rPr>
          <w:rFonts w:eastAsiaTheme="minorHAnsi" w:cs="Arial"/>
        </w:rPr>
      </w:pPr>
    </w:p>
    <w:p w14:paraId="4E4F04CD" w14:textId="77777777" w:rsidR="000E78E9" w:rsidRPr="000E78E9" w:rsidRDefault="00256838" w:rsidP="00E81515">
      <w:pPr>
        <w:pStyle w:val="ListParagraph"/>
        <w:numPr>
          <w:ilvl w:val="0"/>
          <w:numId w:val="22"/>
        </w:numPr>
        <w:autoSpaceDE w:val="0"/>
        <w:autoSpaceDN w:val="0"/>
        <w:adjustRightInd w:val="0"/>
        <w:spacing w:before="100" w:beforeAutospacing="1" w:after="100" w:afterAutospacing="1"/>
        <w:rPr>
          <w:rFonts w:eastAsiaTheme="minorHAnsi" w:cs="Arial"/>
        </w:rPr>
      </w:pPr>
      <w:r w:rsidRPr="000E78E9">
        <w:rPr>
          <w:rFonts w:cs="Arial"/>
        </w:rPr>
        <w:t>The establishment and maintenance of client identification requirements in certain circumstances</w:t>
      </w:r>
    </w:p>
    <w:p w14:paraId="4E4F04CE" w14:textId="77777777" w:rsidR="000E78E9" w:rsidRPr="000E78E9" w:rsidRDefault="000E78E9" w:rsidP="000E78E9">
      <w:pPr>
        <w:pStyle w:val="ListParagraph"/>
        <w:autoSpaceDE w:val="0"/>
        <w:autoSpaceDN w:val="0"/>
        <w:adjustRightInd w:val="0"/>
        <w:spacing w:before="100" w:beforeAutospacing="1" w:after="100" w:afterAutospacing="1"/>
        <w:ind w:left="360"/>
        <w:rPr>
          <w:rFonts w:eastAsiaTheme="minorHAnsi" w:cs="Arial"/>
        </w:rPr>
      </w:pPr>
    </w:p>
    <w:p w14:paraId="4E4F04CF" w14:textId="77777777" w:rsidR="000E78E9" w:rsidRPr="000E78E9" w:rsidRDefault="008110BF" w:rsidP="00E81515">
      <w:pPr>
        <w:pStyle w:val="ListParagraph"/>
        <w:numPr>
          <w:ilvl w:val="0"/>
          <w:numId w:val="22"/>
        </w:numPr>
        <w:autoSpaceDE w:val="0"/>
        <w:autoSpaceDN w:val="0"/>
        <w:adjustRightInd w:val="0"/>
        <w:spacing w:before="100" w:beforeAutospacing="1" w:after="100" w:afterAutospacing="1"/>
        <w:rPr>
          <w:rFonts w:eastAsiaTheme="minorHAnsi" w:cs="Arial"/>
        </w:rPr>
      </w:pPr>
      <w:r w:rsidRPr="000E78E9">
        <w:rPr>
          <w:rFonts w:cs="Arial"/>
        </w:rPr>
        <w:t>The establishment and maintenance of record keeping requirements</w:t>
      </w:r>
      <w:r w:rsidR="00815277" w:rsidRPr="000E78E9">
        <w:rPr>
          <w:rFonts w:cs="Arial"/>
        </w:rPr>
        <w:t>.</w:t>
      </w:r>
    </w:p>
    <w:p w14:paraId="4E4F04D0" w14:textId="77777777" w:rsidR="000E78E9" w:rsidRPr="000E78E9" w:rsidRDefault="000E78E9" w:rsidP="000E78E9">
      <w:pPr>
        <w:pStyle w:val="ListParagraph"/>
        <w:autoSpaceDE w:val="0"/>
        <w:autoSpaceDN w:val="0"/>
        <w:adjustRightInd w:val="0"/>
        <w:spacing w:before="100" w:beforeAutospacing="1" w:after="100" w:afterAutospacing="1"/>
        <w:ind w:left="360"/>
        <w:rPr>
          <w:rFonts w:eastAsiaTheme="minorHAnsi" w:cs="Arial"/>
        </w:rPr>
      </w:pPr>
    </w:p>
    <w:p w14:paraId="4E4F04D1" w14:textId="77777777" w:rsidR="000E78E9" w:rsidRPr="00D86BA3" w:rsidRDefault="007A74AA" w:rsidP="00E81515">
      <w:pPr>
        <w:pStyle w:val="ListParagraph"/>
        <w:numPr>
          <w:ilvl w:val="0"/>
          <w:numId w:val="22"/>
        </w:numPr>
        <w:autoSpaceDE w:val="0"/>
        <w:autoSpaceDN w:val="0"/>
        <w:adjustRightInd w:val="0"/>
        <w:spacing w:before="100" w:beforeAutospacing="1" w:after="100" w:afterAutospacing="1"/>
        <w:rPr>
          <w:rFonts w:eastAsiaTheme="minorHAnsi" w:cs="Arial"/>
        </w:rPr>
      </w:pPr>
      <w:r w:rsidRPr="00D86BA3">
        <w:rPr>
          <w:rFonts w:eastAsiaTheme="minorHAnsi" w:cs="Arial"/>
        </w:rPr>
        <w:t>Communication</w:t>
      </w:r>
      <w:r w:rsidR="00E2632A" w:rsidRPr="00D86BA3">
        <w:rPr>
          <w:rFonts w:eastAsiaTheme="minorHAnsi" w:cs="Arial"/>
        </w:rPr>
        <w:t xml:space="preserve"> with </w:t>
      </w:r>
      <w:r w:rsidR="00CB5635" w:rsidRPr="00D86BA3">
        <w:rPr>
          <w:rFonts w:eastAsiaTheme="minorHAnsi" w:cs="Arial"/>
        </w:rPr>
        <w:t xml:space="preserve">all employees, </w:t>
      </w:r>
      <w:proofErr w:type="gramStart"/>
      <w:r w:rsidR="00CB5635" w:rsidRPr="00D86BA3">
        <w:rPr>
          <w:rFonts w:eastAsiaTheme="minorHAnsi" w:cs="Arial"/>
        </w:rPr>
        <w:t>members</w:t>
      </w:r>
      <w:proofErr w:type="gramEnd"/>
      <w:r w:rsidR="00CB5635" w:rsidRPr="00D86BA3">
        <w:rPr>
          <w:rFonts w:eastAsiaTheme="minorHAnsi" w:cs="Arial"/>
        </w:rPr>
        <w:t xml:space="preserve"> an</w:t>
      </w:r>
      <w:r w:rsidR="009E78BE" w:rsidRPr="00D86BA3">
        <w:rPr>
          <w:rFonts w:eastAsiaTheme="minorHAnsi" w:cs="Arial"/>
        </w:rPr>
        <w:t xml:space="preserve">d volunteers </w:t>
      </w:r>
      <w:r w:rsidRPr="00D86BA3">
        <w:rPr>
          <w:rFonts w:eastAsiaTheme="minorHAnsi" w:cs="Arial"/>
        </w:rPr>
        <w:t xml:space="preserve">to ensure they </w:t>
      </w:r>
      <w:r w:rsidR="009E78BE" w:rsidRPr="00D86BA3">
        <w:rPr>
          <w:rFonts w:eastAsiaTheme="minorHAnsi" w:cs="Arial"/>
        </w:rPr>
        <w:t>are</w:t>
      </w:r>
      <w:r w:rsidR="00CB5635" w:rsidRPr="00D86BA3">
        <w:rPr>
          <w:rFonts w:eastAsiaTheme="minorHAnsi" w:cs="Arial"/>
        </w:rPr>
        <w:t xml:space="preserve"> aware of their responsibilities and how to act in ways that prote</w:t>
      </w:r>
      <w:r w:rsidR="000E78E9" w:rsidRPr="00D86BA3">
        <w:rPr>
          <w:rFonts w:eastAsiaTheme="minorHAnsi" w:cs="Arial"/>
        </w:rPr>
        <w:t>cts them from money laundering.</w:t>
      </w:r>
    </w:p>
    <w:p w14:paraId="4E4F04D2" w14:textId="77777777" w:rsidR="000E78E9" w:rsidRDefault="000E78E9" w:rsidP="000E78E9">
      <w:pPr>
        <w:pStyle w:val="ListParagraph"/>
        <w:autoSpaceDE w:val="0"/>
        <w:autoSpaceDN w:val="0"/>
        <w:adjustRightInd w:val="0"/>
        <w:spacing w:before="100" w:beforeAutospacing="1" w:after="100" w:afterAutospacing="1"/>
        <w:ind w:left="360"/>
        <w:rPr>
          <w:rFonts w:eastAsiaTheme="minorHAnsi" w:cs="Arial"/>
        </w:rPr>
      </w:pPr>
    </w:p>
    <w:p w14:paraId="4E4F04D3" w14:textId="77777777" w:rsidR="00815277" w:rsidRDefault="00815277" w:rsidP="00E81515">
      <w:pPr>
        <w:pStyle w:val="ListParagraph"/>
        <w:numPr>
          <w:ilvl w:val="0"/>
          <w:numId w:val="22"/>
        </w:numPr>
        <w:autoSpaceDE w:val="0"/>
        <w:autoSpaceDN w:val="0"/>
        <w:adjustRightInd w:val="0"/>
        <w:spacing w:before="100" w:beforeAutospacing="1" w:after="100" w:afterAutospacing="1"/>
        <w:rPr>
          <w:rFonts w:eastAsiaTheme="minorHAnsi" w:cs="Arial"/>
        </w:rPr>
      </w:pPr>
      <w:r w:rsidRPr="000E78E9">
        <w:rPr>
          <w:rFonts w:eastAsiaTheme="minorHAnsi" w:cs="Arial"/>
        </w:rPr>
        <w:t xml:space="preserve">The training of relevant staff in how to recognise and deal with transactions </w:t>
      </w:r>
      <w:r w:rsidR="007C7ABB">
        <w:rPr>
          <w:rFonts w:eastAsiaTheme="minorHAnsi" w:cs="Arial"/>
        </w:rPr>
        <w:tab/>
      </w:r>
      <w:r w:rsidRPr="000E78E9">
        <w:rPr>
          <w:rFonts w:eastAsiaTheme="minorHAnsi" w:cs="Arial"/>
        </w:rPr>
        <w:t>which may be related to money laundering.</w:t>
      </w:r>
    </w:p>
    <w:p w14:paraId="355C6903" w14:textId="77777777" w:rsidR="00C536DE" w:rsidRPr="00C536DE" w:rsidRDefault="00C536DE" w:rsidP="00D26914">
      <w:pPr>
        <w:pStyle w:val="ListParagraph"/>
        <w:rPr>
          <w:rFonts w:eastAsiaTheme="minorHAnsi" w:cs="Arial"/>
        </w:rPr>
      </w:pPr>
    </w:p>
    <w:p w14:paraId="40CDE1CE" w14:textId="676C2AD3" w:rsidR="00C536DE" w:rsidRPr="000E78E9" w:rsidRDefault="00C536DE" w:rsidP="00E81515">
      <w:pPr>
        <w:pStyle w:val="ListParagraph"/>
        <w:numPr>
          <w:ilvl w:val="0"/>
          <w:numId w:val="22"/>
        </w:numPr>
        <w:autoSpaceDE w:val="0"/>
        <w:autoSpaceDN w:val="0"/>
        <w:adjustRightInd w:val="0"/>
        <w:spacing w:before="100" w:beforeAutospacing="1" w:after="100" w:afterAutospacing="1"/>
        <w:rPr>
          <w:rFonts w:eastAsiaTheme="minorHAnsi" w:cs="Arial"/>
        </w:rPr>
      </w:pPr>
      <w:r>
        <w:rPr>
          <w:rFonts w:eastAsiaTheme="minorHAnsi" w:cs="Arial"/>
        </w:rPr>
        <w:t>Adopting a risk-based approach</w:t>
      </w:r>
      <w:r w:rsidR="00C2146C">
        <w:rPr>
          <w:rFonts w:eastAsiaTheme="minorHAnsi" w:cs="Arial"/>
        </w:rPr>
        <w:t xml:space="preserve"> </w:t>
      </w:r>
      <w:r w:rsidR="00C2146C">
        <w:t xml:space="preserve">to due diligence, placing greater focus on high-risk sectors and transactions, including those involving overseas entities and high-risk third </w:t>
      </w:r>
      <w:r w:rsidR="00901F97">
        <w:t xml:space="preserve">world </w:t>
      </w:r>
      <w:r w:rsidR="00C2146C">
        <w:t>countries</w:t>
      </w:r>
    </w:p>
    <w:p w14:paraId="4E4F04D4" w14:textId="77777777" w:rsidR="00CC5340" w:rsidRDefault="00CC5340" w:rsidP="00CC5340">
      <w:pPr>
        <w:rPr>
          <w:rFonts w:cs="Arial"/>
        </w:rPr>
      </w:pPr>
    </w:p>
    <w:p w14:paraId="3FA71EE5" w14:textId="77777777" w:rsidR="004817BA" w:rsidRDefault="004817BA" w:rsidP="00CC5340">
      <w:pPr>
        <w:rPr>
          <w:rFonts w:cs="Arial"/>
        </w:rPr>
      </w:pPr>
    </w:p>
    <w:p w14:paraId="3B2B37D8" w14:textId="77777777" w:rsidR="004817BA" w:rsidRPr="001724A0" w:rsidRDefault="004817BA" w:rsidP="00CC5340">
      <w:pPr>
        <w:rPr>
          <w:rFonts w:cs="Arial"/>
        </w:rPr>
      </w:pPr>
    </w:p>
    <w:p w14:paraId="4E4F04D5" w14:textId="77777777" w:rsidR="00CC5340" w:rsidRPr="001724A0" w:rsidRDefault="00CC5340" w:rsidP="00E81515">
      <w:pPr>
        <w:pStyle w:val="Heading1"/>
        <w:numPr>
          <w:ilvl w:val="0"/>
          <w:numId w:val="2"/>
        </w:numPr>
        <w:ind w:left="709" w:hanging="709"/>
        <w:rPr>
          <w:rFonts w:cs="Arial"/>
          <w:color w:val="auto"/>
        </w:rPr>
      </w:pPr>
      <w:bookmarkStart w:id="11" w:name="_Toc532466645"/>
      <w:r w:rsidRPr="001724A0">
        <w:rPr>
          <w:rFonts w:cs="Arial"/>
          <w:color w:val="auto"/>
        </w:rPr>
        <w:lastRenderedPageBreak/>
        <w:t>Policy Scope</w:t>
      </w:r>
      <w:bookmarkEnd w:id="11"/>
      <w:r w:rsidRPr="001724A0">
        <w:rPr>
          <w:rFonts w:cs="Arial"/>
          <w:color w:val="auto"/>
        </w:rPr>
        <w:t xml:space="preserve"> </w:t>
      </w:r>
    </w:p>
    <w:p w14:paraId="4E4F04D6" w14:textId="77777777" w:rsidR="00CC5340" w:rsidRPr="001724A0" w:rsidRDefault="00CC5340" w:rsidP="00CC5340">
      <w:pPr>
        <w:ind w:left="709" w:hanging="709"/>
        <w:rPr>
          <w:rFonts w:cs="Arial"/>
        </w:rPr>
      </w:pPr>
    </w:p>
    <w:p w14:paraId="67B52EEA" w14:textId="4B88F8AD" w:rsidR="00E12F4D" w:rsidRDefault="00CC5340" w:rsidP="00E12F4D">
      <w:pPr>
        <w:pStyle w:val="ListParagraph"/>
        <w:numPr>
          <w:ilvl w:val="0"/>
          <w:numId w:val="18"/>
        </w:numPr>
      </w:pPr>
      <w:r w:rsidRPr="00E12F4D">
        <w:rPr>
          <w:rFonts w:cs="Arial"/>
        </w:rPr>
        <w:t xml:space="preserve">This </w:t>
      </w:r>
      <w:r w:rsidRPr="001724A0">
        <w:t xml:space="preserve">policy and procedures </w:t>
      </w:r>
      <w:proofErr w:type="gramStart"/>
      <w:r w:rsidRPr="001724A0">
        <w:t>appl</w:t>
      </w:r>
      <w:r w:rsidR="00CA6B03">
        <w:t>ies</w:t>
      </w:r>
      <w:proofErr w:type="gramEnd"/>
      <w:r w:rsidRPr="001724A0">
        <w:t xml:space="preserve"> to all city council employees, which include contractors and agency staff</w:t>
      </w:r>
      <w:r w:rsidR="0022743B">
        <w:t xml:space="preserve">, </w:t>
      </w:r>
      <w:r w:rsidR="00E12F4D" w:rsidRPr="00E12F4D">
        <w:t>all elected Councillors, also known as Members, any person volunteering for Oxford</w:t>
      </w:r>
      <w:r w:rsidR="000F1B53">
        <w:t xml:space="preserve"> </w:t>
      </w:r>
      <w:r w:rsidR="00E12F4D" w:rsidRPr="00E12F4D">
        <w:t>City Counci</w:t>
      </w:r>
      <w:r w:rsidR="000F1B53">
        <w:t>l</w:t>
      </w:r>
      <w:r w:rsidR="00E12F4D" w:rsidRPr="00E12F4D">
        <w:t xml:space="preserve">, and any other person working on behalf of the Council who is involved in any form of financial transaction, including </w:t>
      </w:r>
      <w:proofErr w:type="spellStart"/>
      <w:r w:rsidR="00E12F4D" w:rsidRPr="00E12F4D">
        <w:t>cryptoassets</w:t>
      </w:r>
      <w:proofErr w:type="spellEnd"/>
      <w:r w:rsidR="00E12F4D" w:rsidRPr="00E12F4D">
        <w:t xml:space="preserve"> and emerging financial technologies</w:t>
      </w:r>
    </w:p>
    <w:p w14:paraId="2E554258" w14:textId="77777777" w:rsidR="000F1B53" w:rsidRPr="00E12F4D" w:rsidRDefault="000F1B53" w:rsidP="000F1B53">
      <w:pPr>
        <w:ind w:left="360"/>
      </w:pPr>
    </w:p>
    <w:p w14:paraId="4E4F04DC" w14:textId="095FC141" w:rsidR="0045629F" w:rsidRDefault="0029239E" w:rsidP="000D10D4">
      <w:pPr>
        <w:pStyle w:val="ListParagraph"/>
        <w:numPr>
          <w:ilvl w:val="0"/>
          <w:numId w:val="18"/>
        </w:numPr>
      </w:pPr>
      <w:r w:rsidRPr="0029239E">
        <w:t>For contractors and agency staff, compliance with this policy is ensured through explicit inclusion in tender documents and contractual agreements, outlining their obligations to adhere to the council’s AML requirements.</w:t>
      </w:r>
    </w:p>
    <w:p w14:paraId="39FD8E6D" w14:textId="77777777" w:rsidR="000F1B53" w:rsidRDefault="000F1B53" w:rsidP="000F1B53">
      <w:pPr>
        <w:pStyle w:val="ListParagraph"/>
      </w:pPr>
    </w:p>
    <w:p w14:paraId="14FC9C1C" w14:textId="77777777" w:rsidR="000F1B53" w:rsidRDefault="000F1B53" w:rsidP="000F1B53">
      <w:pPr>
        <w:ind w:left="360"/>
      </w:pPr>
    </w:p>
    <w:p w14:paraId="4E4F04DD" w14:textId="5E916D33" w:rsidR="0045629F" w:rsidRPr="00D86BA3" w:rsidRDefault="000F1B53" w:rsidP="00E81515">
      <w:pPr>
        <w:pStyle w:val="ListParagraph"/>
        <w:numPr>
          <w:ilvl w:val="0"/>
          <w:numId w:val="18"/>
        </w:numPr>
      </w:pPr>
      <w:r>
        <w:t xml:space="preserve"> </w:t>
      </w:r>
      <w:r w:rsidR="0045629F">
        <w:t xml:space="preserve">This policy does not cover companies which are wholly owned by Oxford City Council. </w:t>
      </w:r>
      <w:r w:rsidR="0006630B">
        <w:t>In these scenarios, s</w:t>
      </w:r>
      <w:r w:rsidR="0045629F">
        <w:t>eparate policies exist which are specifically tailored to those entities.</w:t>
      </w:r>
    </w:p>
    <w:p w14:paraId="4E4F04DF" w14:textId="77777777" w:rsidR="00A643C3" w:rsidRPr="001724A0" w:rsidRDefault="0072508F" w:rsidP="00E81515">
      <w:pPr>
        <w:pStyle w:val="Heading1"/>
        <w:numPr>
          <w:ilvl w:val="3"/>
          <w:numId w:val="6"/>
        </w:numPr>
        <w:ind w:left="709" w:hanging="709"/>
        <w:rPr>
          <w:rFonts w:cs="Arial"/>
          <w:color w:val="auto"/>
        </w:rPr>
      </w:pPr>
      <w:bookmarkStart w:id="12" w:name="_Toc532466646"/>
      <w:bookmarkEnd w:id="10"/>
      <w:r w:rsidRPr="001724A0">
        <w:rPr>
          <w:rFonts w:cs="Arial"/>
          <w:color w:val="auto"/>
        </w:rPr>
        <w:t>L</w:t>
      </w:r>
      <w:r w:rsidR="002F7D8B" w:rsidRPr="001724A0">
        <w:rPr>
          <w:rFonts w:cs="Arial"/>
          <w:color w:val="auto"/>
        </w:rPr>
        <w:t>egal Framework</w:t>
      </w:r>
      <w:bookmarkEnd w:id="12"/>
    </w:p>
    <w:p w14:paraId="4E4F04E0" w14:textId="77777777" w:rsidR="00636884" w:rsidRPr="001724A0" w:rsidRDefault="00636884" w:rsidP="00687040">
      <w:pPr>
        <w:ind w:left="709" w:hanging="709"/>
        <w:rPr>
          <w:rFonts w:cs="Arial"/>
          <w:lang w:eastAsia="en-GB"/>
        </w:rPr>
      </w:pPr>
    </w:p>
    <w:p w14:paraId="4E4F04E1" w14:textId="77777777" w:rsidR="0015105F" w:rsidRPr="001724A0" w:rsidRDefault="00D45622" w:rsidP="00687040">
      <w:pPr>
        <w:ind w:left="709" w:hanging="709"/>
        <w:rPr>
          <w:rFonts w:cs="Arial"/>
          <w:lang w:eastAsia="en-GB"/>
        </w:rPr>
      </w:pPr>
      <w:r w:rsidRPr="001724A0">
        <w:rPr>
          <w:rFonts w:eastAsiaTheme="minorHAnsi" w:cs="Arial"/>
        </w:rPr>
        <w:tab/>
      </w:r>
    </w:p>
    <w:p w14:paraId="4E4F04E2" w14:textId="77777777" w:rsidR="008414F7" w:rsidRPr="001724A0" w:rsidRDefault="008414F7" w:rsidP="00E81515">
      <w:pPr>
        <w:pStyle w:val="ListParagraph"/>
        <w:numPr>
          <w:ilvl w:val="0"/>
          <w:numId w:val="2"/>
        </w:numPr>
        <w:ind w:left="709" w:hanging="709"/>
        <w:rPr>
          <w:rFonts w:cs="Arial"/>
          <w:vanish/>
          <w:lang w:eastAsia="en-GB"/>
        </w:rPr>
      </w:pPr>
    </w:p>
    <w:p w14:paraId="4E4F04E3" w14:textId="77777777" w:rsidR="00CA41E6" w:rsidRPr="001724A0" w:rsidRDefault="00CA41E6" w:rsidP="00E81515">
      <w:pPr>
        <w:pStyle w:val="ListParagraph"/>
        <w:numPr>
          <w:ilvl w:val="1"/>
          <w:numId w:val="2"/>
        </w:numPr>
        <w:ind w:left="709" w:hanging="709"/>
        <w:rPr>
          <w:rFonts w:cs="Arial"/>
          <w:lang w:eastAsia="en-GB"/>
        </w:rPr>
      </w:pPr>
      <w:r w:rsidRPr="001724A0">
        <w:rPr>
          <w:rFonts w:eastAsiaTheme="minorHAnsi" w:cs="Arial"/>
        </w:rPr>
        <w:t>This policy has been developed in accordance with the principles established by relevant legislation and guidance.</w:t>
      </w:r>
      <w:r w:rsidR="00AB0BAB" w:rsidRPr="001724A0">
        <w:rPr>
          <w:rFonts w:eastAsiaTheme="minorHAnsi" w:cs="Arial"/>
        </w:rPr>
        <w:t xml:space="preserve"> </w:t>
      </w:r>
    </w:p>
    <w:p w14:paraId="4E4F04E4" w14:textId="77777777" w:rsidR="00CA41E6" w:rsidRPr="001724A0" w:rsidRDefault="00CA41E6" w:rsidP="00CA41E6">
      <w:pPr>
        <w:pStyle w:val="ListParagraph"/>
        <w:ind w:left="709"/>
        <w:rPr>
          <w:rFonts w:cs="Arial"/>
          <w:lang w:eastAsia="en-GB"/>
        </w:rPr>
      </w:pPr>
    </w:p>
    <w:p w14:paraId="4E4F04E5" w14:textId="77777777" w:rsidR="00AA5B57" w:rsidRPr="001724A0" w:rsidRDefault="00AA5B57" w:rsidP="00E81515">
      <w:pPr>
        <w:pStyle w:val="ListParagraph"/>
        <w:numPr>
          <w:ilvl w:val="1"/>
          <w:numId w:val="2"/>
        </w:numPr>
        <w:ind w:left="709" w:hanging="709"/>
        <w:rPr>
          <w:rFonts w:cs="Arial"/>
          <w:lang w:eastAsia="en-GB"/>
        </w:rPr>
      </w:pPr>
      <w:r w:rsidRPr="001724A0">
        <w:rPr>
          <w:rFonts w:cs="Arial"/>
        </w:rPr>
        <w:t xml:space="preserve">New obligations were imposed </w:t>
      </w:r>
      <w:proofErr w:type="gramStart"/>
      <w:r w:rsidRPr="001724A0">
        <w:rPr>
          <w:rFonts w:cs="Arial"/>
        </w:rPr>
        <w:t>by</w:t>
      </w:r>
      <w:proofErr w:type="gramEnd"/>
    </w:p>
    <w:p w14:paraId="4E4F04E6" w14:textId="77777777" w:rsidR="00AA5B57" w:rsidRPr="001724A0" w:rsidRDefault="00AA5B57" w:rsidP="00E81515">
      <w:pPr>
        <w:pStyle w:val="ListParagraph"/>
        <w:numPr>
          <w:ilvl w:val="2"/>
          <w:numId w:val="2"/>
        </w:numPr>
        <w:ind w:left="1134" w:hanging="425"/>
        <w:rPr>
          <w:rFonts w:cs="Arial"/>
          <w:lang w:eastAsia="en-GB"/>
        </w:rPr>
      </w:pPr>
      <w:r w:rsidRPr="001724A0">
        <w:rPr>
          <w:rFonts w:cs="Arial"/>
          <w:lang w:eastAsia="en-GB"/>
        </w:rPr>
        <w:t>The Sanctions and Anti-Money Laundering Act 2018</w:t>
      </w:r>
    </w:p>
    <w:p w14:paraId="4E4F04E7" w14:textId="77777777" w:rsidR="00AA5B57" w:rsidRPr="001724A0" w:rsidRDefault="00AA5B57" w:rsidP="00E81515">
      <w:pPr>
        <w:pStyle w:val="ListParagraph"/>
        <w:numPr>
          <w:ilvl w:val="2"/>
          <w:numId w:val="2"/>
        </w:numPr>
        <w:ind w:left="1134" w:hanging="425"/>
        <w:rPr>
          <w:rFonts w:cs="Arial"/>
          <w:lang w:eastAsia="en-GB"/>
        </w:rPr>
      </w:pPr>
      <w:r w:rsidRPr="001724A0">
        <w:rPr>
          <w:rFonts w:cs="Arial"/>
          <w:lang w:eastAsia="en-GB"/>
        </w:rPr>
        <w:t>Criminal Finances Act 2017</w:t>
      </w:r>
    </w:p>
    <w:p w14:paraId="4E4F04E8" w14:textId="77777777" w:rsidR="005221C9" w:rsidRDefault="00AA5B57" w:rsidP="00E81515">
      <w:pPr>
        <w:pStyle w:val="ListParagraph"/>
        <w:numPr>
          <w:ilvl w:val="2"/>
          <w:numId w:val="2"/>
        </w:numPr>
        <w:ind w:left="1134" w:hanging="425"/>
        <w:rPr>
          <w:rFonts w:cs="Arial"/>
          <w:lang w:eastAsia="en-GB"/>
        </w:rPr>
      </w:pPr>
      <w:r w:rsidRPr="005221C9">
        <w:rPr>
          <w:rFonts w:cs="Arial"/>
          <w:lang w:eastAsia="en-GB"/>
        </w:rPr>
        <w:t xml:space="preserve">The Proceeds of Crime Act 2002 </w:t>
      </w:r>
    </w:p>
    <w:p w14:paraId="4E4F04E9" w14:textId="77777777" w:rsidR="00AA5B57" w:rsidRPr="005221C9" w:rsidRDefault="00AA5B57" w:rsidP="00E81515">
      <w:pPr>
        <w:pStyle w:val="ListParagraph"/>
        <w:numPr>
          <w:ilvl w:val="2"/>
          <w:numId w:val="2"/>
        </w:numPr>
        <w:ind w:left="1134" w:hanging="425"/>
        <w:rPr>
          <w:rFonts w:cs="Arial"/>
          <w:lang w:eastAsia="en-GB"/>
        </w:rPr>
      </w:pPr>
      <w:r w:rsidRPr="005221C9">
        <w:rPr>
          <w:rFonts w:cs="Arial"/>
          <w:lang w:eastAsia="en-GB"/>
        </w:rPr>
        <w:t xml:space="preserve">The Terrorism Act </w:t>
      </w:r>
    </w:p>
    <w:p w14:paraId="4E4F04EA" w14:textId="512159EC" w:rsidR="005221C9" w:rsidRPr="001724A0" w:rsidRDefault="005221C9" w:rsidP="00E81515">
      <w:pPr>
        <w:pStyle w:val="ListParagraph"/>
        <w:numPr>
          <w:ilvl w:val="2"/>
          <w:numId w:val="2"/>
        </w:numPr>
        <w:ind w:left="1134" w:hanging="425"/>
        <w:rPr>
          <w:rFonts w:cs="Arial"/>
          <w:lang w:eastAsia="en-GB"/>
        </w:rPr>
      </w:pPr>
      <w:r w:rsidRPr="001724A0">
        <w:rPr>
          <w:rFonts w:cs="Arial"/>
          <w:lang w:eastAsia="en-GB"/>
        </w:rPr>
        <w:t>T</w:t>
      </w:r>
      <w:r>
        <w:rPr>
          <w:rFonts w:cs="Arial"/>
          <w:lang w:eastAsia="en-GB"/>
        </w:rPr>
        <w:t xml:space="preserve">he Money Laundering, Terrorist Financing and Transfer of Funds (Information on Payer) </w:t>
      </w:r>
      <w:r w:rsidRPr="001724A0">
        <w:rPr>
          <w:rFonts w:cs="Arial"/>
          <w:lang w:eastAsia="en-GB"/>
        </w:rPr>
        <w:t>Regulations 20</w:t>
      </w:r>
      <w:r>
        <w:rPr>
          <w:rFonts w:cs="Arial"/>
          <w:lang w:eastAsia="en-GB"/>
        </w:rPr>
        <w:t>1</w:t>
      </w:r>
      <w:r w:rsidRPr="001724A0">
        <w:rPr>
          <w:rFonts w:cs="Arial"/>
          <w:lang w:eastAsia="en-GB"/>
        </w:rPr>
        <w:t>7</w:t>
      </w:r>
      <w:r w:rsidR="000943DF">
        <w:rPr>
          <w:rFonts w:cs="Arial"/>
          <w:lang w:eastAsia="en-GB"/>
        </w:rPr>
        <w:t xml:space="preserve"> (</w:t>
      </w:r>
      <w:r w:rsidR="000943DF">
        <w:t xml:space="preserve">The 2020 amendments to </w:t>
      </w:r>
      <w:r w:rsidR="00AB71FB">
        <w:t>ext</w:t>
      </w:r>
      <w:r w:rsidR="000943DF">
        <w:t>e</w:t>
      </w:r>
      <w:r w:rsidR="00AB71FB">
        <w:t>n</w:t>
      </w:r>
      <w:r w:rsidR="000943DF">
        <w:t xml:space="preserve">d the scope to include </w:t>
      </w:r>
      <w:proofErr w:type="spellStart"/>
      <w:r w:rsidR="000943DF">
        <w:t>cryptoassets</w:t>
      </w:r>
      <w:proofErr w:type="spellEnd"/>
      <w:r w:rsidR="000943DF">
        <w:t xml:space="preserve">, reduced thresholds for electronic money, and enhanced customer due diligence. The 2024 update introduces provisions relating to domestic </w:t>
      </w:r>
      <w:r w:rsidR="00EA023F">
        <w:t>P</w:t>
      </w:r>
      <w:r w:rsidR="00D202F9">
        <w:t>olitically Exposed Persons (</w:t>
      </w:r>
      <w:r w:rsidR="000943DF">
        <w:t>PEPs</w:t>
      </w:r>
      <w:r w:rsidR="00D202F9">
        <w:t>)</w:t>
      </w:r>
      <w:r w:rsidR="000943DF">
        <w:t xml:space="preserve"> and updated sanctions guidance.</w:t>
      </w:r>
      <w:r w:rsidR="00AB71FB">
        <w:t>)</w:t>
      </w:r>
    </w:p>
    <w:p w14:paraId="4E4F04EB" w14:textId="77777777" w:rsidR="00AA5B57" w:rsidRPr="001724A0" w:rsidRDefault="00AA5B57" w:rsidP="005221C9">
      <w:pPr>
        <w:pStyle w:val="ListParagraph"/>
        <w:ind w:left="1134"/>
        <w:rPr>
          <w:rFonts w:cs="Arial"/>
          <w:lang w:eastAsia="en-GB"/>
        </w:rPr>
      </w:pPr>
    </w:p>
    <w:p w14:paraId="4E4F04EC" w14:textId="77777777" w:rsidR="008414F7" w:rsidRPr="001724A0" w:rsidRDefault="008414F7" w:rsidP="00AA5B57">
      <w:pPr>
        <w:pStyle w:val="ListParagraph"/>
        <w:ind w:left="1440"/>
        <w:rPr>
          <w:rFonts w:cs="Arial"/>
          <w:lang w:eastAsia="en-GB"/>
        </w:rPr>
      </w:pPr>
    </w:p>
    <w:p w14:paraId="4E4F04ED" w14:textId="77777777" w:rsidR="005221C9" w:rsidRDefault="005221C9" w:rsidP="00E81515">
      <w:pPr>
        <w:numPr>
          <w:ilvl w:val="1"/>
          <w:numId w:val="2"/>
        </w:numPr>
        <w:ind w:hanging="720"/>
        <w:rPr>
          <w:rFonts w:cs="Arial"/>
          <w:lang w:eastAsia="en-GB"/>
        </w:rPr>
      </w:pPr>
      <w:r w:rsidRPr="005221C9">
        <w:rPr>
          <w:rFonts w:cs="Arial"/>
          <w:lang w:eastAsia="en-GB"/>
        </w:rPr>
        <w:t xml:space="preserve">This legislation sets out the definition of money laundering and the range of activities caught by the statutory control framework. In particular, the legislation imposes a duty to report suspicions of money laundering and sets out the criminal sanctions imposed for failure to do so. </w:t>
      </w:r>
    </w:p>
    <w:p w14:paraId="5937EBE8" w14:textId="77777777" w:rsidR="0089758C" w:rsidRDefault="0089758C" w:rsidP="0089758C">
      <w:pPr>
        <w:rPr>
          <w:rFonts w:cs="Arial"/>
          <w:lang w:eastAsia="en-GB"/>
        </w:rPr>
      </w:pPr>
    </w:p>
    <w:p w14:paraId="6E59D918" w14:textId="77777777" w:rsidR="0089758C" w:rsidRDefault="0089758C" w:rsidP="0089758C">
      <w:pPr>
        <w:rPr>
          <w:rFonts w:cs="Arial"/>
          <w:lang w:eastAsia="en-GB"/>
        </w:rPr>
      </w:pPr>
    </w:p>
    <w:p w14:paraId="50D1582E" w14:textId="77777777" w:rsidR="0089758C" w:rsidRDefault="0089758C" w:rsidP="0089758C">
      <w:pPr>
        <w:rPr>
          <w:rFonts w:cs="Arial"/>
          <w:lang w:eastAsia="en-GB"/>
        </w:rPr>
      </w:pPr>
    </w:p>
    <w:p w14:paraId="43B83E12" w14:textId="77777777" w:rsidR="0089758C" w:rsidRDefault="0089758C" w:rsidP="0089758C">
      <w:pPr>
        <w:rPr>
          <w:rFonts w:cs="Arial"/>
          <w:lang w:eastAsia="en-GB"/>
        </w:rPr>
      </w:pPr>
    </w:p>
    <w:p w14:paraId="7CDEB95A" w14:textId="77777777" w:rsidR="0089758C" w:rsidRPr="005221C9" w:rsidRDefault="0089758C" w:rsidP="0089758C">
      <w:pPr>
        <w:rPr>
          <w:rFonts w:cs="Arial"/>
          <w:lang w:eastAsia="en-GB"/>
        </w:rPr>
      </w:pPr>
    </w:p>
    <w:p w14:paraId="4E4F04EF" w14:textId="77777777" w:rsidR="003F78D6" w:rsidRPr="001724A0" w:rsidRDefault="008F32E1" w:rsidP="00E81515">
      <w:pPr>
        <w:pStyle w:val="Heading1"/>
        <w:numPr>
          <w:ilvl w:val="0"/>
          <w:numId w:val="5"/>
        </w:numPr>
        <w:rPr>
          <w:rFonts w:cs="Arial"/>
          <w:color w:val="auto"/>
        </w:rPr>
      </w:pPr>
      <w:bookmarkStart w:id="13" w:name="_Toc510540528"/>
      <w:bookmarkStart w:id="14" w:name="_Toc532466648"/>
      <w:r w:rsidRPr="001724A0">
        <w:rPr>
          <w:rFonts w:cs="Arial"/>
          <w:color w:val="auto"/>
        </w:rPr>
        <w:lastRenderedPageBreak/>
        <w:t>I</w:t>
      </w:r>
      <w:r w:rsidR="002F7D8B" w:rsidRPr="001724A0">
        <w:rPr>
          <w:rFonts w:cs="Arial"/>
          <w:color w:val="auto"/>
        </w:rPr>
        <w:t>nt</w:t>
      </w:r>
      <w:r w:rsidR="00EC0F12" w:rsidRPr="001724A0">
        <w:rPr>
          <w:rFonts w:cs="Arial"/>
          <w:color w:val="auto"/>
        </w:rPr>
        <w:t xml:space="preserve">eraction with other council </w:t>
      </w:r>
      <w:r w:rsidR="00F615E1" w:rsidRPr="001724A0">
        <w:rPr>
          <w:rFonts w:cs="Arial"/>
          <w:color w:val="auto"/>
        </w:rPr>
        <w:t xml:space="preserve">policies </w:t>
      </w:r>
      <w:r w:rsidR="00EC0F12" w:rsidRPr="001724A0">
        <w:rPr>
          <w:rFonts w:cs="Arial"/>
          <w:color w:val="auto"/>
        </w:rPr>
        <w:t>and external documents</w:t>
      </w:r>
      <w:bookmarkEnd w:id="13"/>
      <w:bookmarkEnd w:id="14"/>
      <w:r w:rsidR="00EC0F12" w:rsidRPr="001724A0">
        <w:rPr>
          <w:rFonts w:cs="Arial"/>
          <w:color w:val="auto"/>
        </w:rPr>
        <w:t xml:space="preserve"> </w:t>
      </w:r>
    </w:p>
    <w:p w14:paraId="4E4F04F0" w14:textId="77777777" w:rsidR="007C00AC" w:rsidRPr="001724A0" w:rsidRDefault="00861C4B" w:rsidP="00687040">
      <w:pPr>
        <w:pStyle w:val="ListParagraph"/>
        <w:ind w:left="709" w:hanging="709"/>
        <w:rPr>
          <w:rFonts w:cs="Arial"/>
        </w:rPr>
      </w:pPr>
      <w:r w:rsidRPr="001724A0">
        <w:rPr>
          <w:rFonts w:cs="Arial"/>
        </w:rPr>
        <w:t xml:space="preserve"> </w:t>
      </w:r>
    </w:p>
    <w:p w14:paraId="4E4F04F1" w14:textId="77777777" w:rsidR="008735EC" w:rsidRPr="001724A0" w:rsidRDefault="008735EC" w:rsidP="00E81515">
      <w:pPr>
        <w:pStyle w:val="ListParagraph"/>
        <w:numPr>
          <w:ilvl w:val="0"/>
          <w:numId w:val="7"/>
        </w:numPr>
        <w:ind w:left="709" w:hanging="709"/>
        <w:rPr>
          <w:rFonts w:cs="Arial"/>
          <w:vanish/>
        </w:rPr>
      </w:pPr>
    </w:p>
    <w:p w14:paraId="4E4F04F2" w14:textId="77777777" w:rsidR="008735EC" w:rsidRPr="001724A0" w:rsidRDefault="008735EC" w:rsidP="00E81515">
      <w:pPr>
        <w:pStyle w:val="ListParagraph"/>
        <w:numPr>
          <w:ilvl w:val="0"/>
          <w:numId w:val="7"/>
        </w:numPr>
        <w:ind w:left="709" w:hanging="709"/>
        <w:rPr>
          <w:rFonts w:cs="Arial"/>
          <w:vanish/>
        </w:rPr>
      </w:pPr>
    </w:p>
    <w:p w14:paraId="4E4F04F3" w14:textId="77777777" w:rsidR="008735EC" w:rsidRPr="001724A0" w:rsidRDefault="008735EC" w:rsidP="00E81515">
      <w:pPr>
        <w:pStyle w:val="ListParagraph"/>
        <w:numPr>
          <w:ilvl w:val="0"/>
          <w:numId w:val="7"/>
        </w:numPr>
        <w:ind w:left="709" w:hanging="709"/>
        <w:rPr>
          <w:rFonts w:cs="Arial"/>
          <w:vanish/>
        </w:rPr>
      </w:pPr>
    </w:p>
    <w:p w14:paraId="4E4F04F4" w14:textId="77777777" w:rsidR="008735EC" w:rsidRPr="001724A0" w:rsidRDefault="008735EC" w:rsidP="00E81515">
      <w:pPr>
        <w:pStyle w:val="ListParagraph"/>
        <w:numPr>
          <w:ilvl w:val="0"/>
          <w:numId w:val="7"/>
        </w:numPr>
        <w:ind w:left="709" w:hanging="709"/>
        <w:rPr>
          <w:rFonts w:cs="Arial"/>
          <w:vanish/>
        </w:rPr>
      </w:pPr>
    </w:p>
    <w:p w14:paraId="4E4F04F5" w14:textId="77777777" w:rsidR="008735EC" w:rsidRPr="001724A0" w:rsidRDefault="008735EC" w:rsidP="00E81515">
      <w:pPr>
        <w:pStyle w:val="ListParagraph"/>
        <w:numPr>
          <w:ilvl w:val="0"/>
          <w:numId w:val="7"/>
        </w:numPr>
        <w:ind w:left="709" w:hanging="709"/>
        <w:rPr>
          <w:rFonts w:cs="Arial"/>
          <w:vanish/>
        </w:rPr>
      </w:pPr>
    </w:p>
    <w:p w14:paraId="4E4F04F6" w14:textId="77777777" w:rsidR="008735EC" w:rsidRPr="001724A0" w:rsidRDefault="008735EC" w:rsidP="00E81515">
      <w:pPr>
        <w:pStyle w:val="ListParagraph"/>
        <w:numPr>
          <w:ilvl w:val="0"/>
          <w:numId w:val="7"/>
        </w:numPr>
        <w:ind w:left="709" w:hanging="709"/>
        <w:rPr>
          <w:rFonts w:cs="Arial"/>
          <w:vanish/>
        </w:rPr>
      </w:pPr>
    </w:p>
    <w:p w14:paraId="4E4F04F7" w14:textId="77777777" w:rsidR="008735EC" w:rsidRPr="001724A0" w:rsidRDefault="008735EC" w:rsidP="00E81515">
      <w:pPr>
        <w:pStyle w:val="ListParagraph"/>
        <w:numPr>
          <w:ilvl w:val="0"/>
          <w:numId w:val="7"/>
        </w:numPr>
        <w:ind w:left="709" w:hanging="709"/>
        <w:rPr>
          <w:rFonts w:cs="Arial"/>
          <w:vanish/>
        </w:rPr>
      </w:pPr>
    </w:p>
    <w:p w14:paraId="4E4F04F8" w14:textId="77777777" w:rsidR="008735EC" w:rsidRPr="001724A0" w:rsidRDefault="008735EC" w:rsidP="00E81515">
      <w:pPr>
        <w:pStyle w:val="ListParagraph"/>
        <w:numPr>
          <w:ilvl w:val="0"/>
          <w:numId w:val="7"/>
        </w:numPr>
        <w:ind w:left="709" w:hanging="709"/>
        <w:rPr>
          <w:rFonts w:cs="Arial"/>
          <w:vanish/>
        </w:rPr>
      </w:pPr>
    </w:p>
    <w:p w14:paraId="4E4F04F9" w14:textId="77777777" w:rsidR="007C00AC" w:rsidRPr="001724A0" w:rsidRDefault="00DD2052" w:rsidP="009F50DD">
      <w:pPr>
        <w:pStyle w:val="ListParagraph"/>
        <w:tabs>
          <w:tab w:val="left" w:pos="709"/>
        </w:tabs>
        <w:rPr>
          <w:rFonts w:cs="Arial"/>
        </w:rPr>
      </w:pPr>
      <w:r w:rsidRPr="001724A0">
        <w:rPr>
          <w:rFonts w:cs="Arial"/>
        </w:rPr>
        <w:t xml:space="preserve">The Policy should be read </w:t>
      </w:r>
      <w:proofErr w:type="gramStart"/>
      <w:r w:rsidRPr="001724A0">
        <w:rPr>
          <w:rFonts w:cs="Arial"/>
        </w:rPr>
        <w:t>alongside</w:t>
      </w:r>
      <w:proofErr w:type="gramEnd"/>
      <w:r w:rsidRPr="001724A0">
        <w:rPr>
          <w:rFonts w:cs="Arial"/>
        </w:rPr>
        <w:t xml:space="preserve"> </w:t>
      </w:r>
    </w:p>
    <w:p w14:paraId="4E4F04FA" w14:textId="77777777" w:rsidR="008735EC" w:rsidRPr="001724A0" w:rsidRDefault="008735EC" w:rsidP="00687040">
      <w:pPr>
        <w:pStyle w:val="ListParagraph"/>
        <w:ind w:left="709" w:hanging="709"/>
        <w:rPr>
          <w:rFonts w:cs="Arial"/>
        </w:rPr>
      </w:pPr>
    </w:p>
    <w:p w14:paraId="4E4F04FB" w14:textId="77777777" w:rsidR="009F50DD" w:rsidRPr="001724A0" w:rsidRDefault="009F50DD" w:rsidP="00CF6280">
      <w:pPr>
        <w:pStyle w:val="ListParagraph"/>
        <w:numPr>
          <w:ilvl w:val="0"/>
          <w:numId w:val="1"/>
        </w:numPr>
        <w:ind w:left="1418" w:hanging="425"/>
        <w:rPr>
          <w:rFonts w:cs="Arial"/>
        </w:rPr>
      </w:pPr>
      <w:r w:rsidRPr="001724A0">
        <w:rPr>
          <w:rFonts w:cs="Arial"/>
        </w:rPr>
        <w:t>Anti-Bribery, Fraud and Corruption Policy</w:t>
      </w:r>
      <w:r w:rsidRPr="001724A0">
        <w:t xml:space="preserve"> </w:t>
      </w:r>
    </w:p>
    <w:p w14:paraId="4E4F04FC" w14:textId="77777777" w:rsidR="007C00AC" w:rsidRPr="00D32603" w:rsidRDefault="00E367E4" w:rsidP="00CF6280">
      <w:pPr>
        <w:pStyle w:val="ListParagraph"/>
        <w:numPr>
          <w:ilvl w:val="0"/>
          <w:numId w:val="1"/>
        </w:numPr>
        <w:ind w:left="1418" w:hanging="425"/>
        <w:rPr>
          <w:rStyle w:val="Hyperlink"/>
          <w:color w:val="auto"/>
        </w:rPr>
      </w:pPr>
      <w:r w:rsidRPr="0075670B">
        <w:rPr>
          <w:rFonts w:cs="Arial"/>
        </w:rPr>
        <w:fldChar w:fldCharType="begin"/>
      </w:r>
      <w:r w:rsidRPr="0075670B">
        <w:rPr>
          <w:rFonts w:cs="Arial"/>
        </w:rPr>
        <w:instrText xml:space="preserve"> HYPERLINK "https://www.oxford.gov.uk/downloads/download/564/employee_code_of_conduct" </w:instrText>
      </w:r>
      <w:r w:rsidRPr="0075670B">
        <w:rPr>
          <w:rFonts w:cs="Arial"/>
        </w:rPr>
      </w:r>
      <w:r w:rsidRPr="0075670B">
        <w:rPr>
          <w:rFonts w:cs="Arial"/>
        </w:rPr>
        <w:fldChar w:fldCharType="separate"/>
      </w:r>
      <w:r w:rsidR="009E0F0A" w:rsidRPr="00D32603">
        <w:rPr>
          <w:rStyle w:val="Hyperlink"/>
          <w:color w:val="365F91" w:themeColor="accent1" w:themeShade="BF"/>
        </w:rPr>
        <w:t xml:space="preserve">Employee </w:t>
      </w:r>
      <w:r w:rsidR="00ED7559" w:rsidRPr="00D32603">
        <w:rPr>
          <w:rStyle w:val="Hyperlink"/>
          <w:color w:val="365F91" w:themeColor="accent1" w:themeShade="BF"/>
        </w:rPr>
        <w:t>Code of conduct</w:t>
      </w:r>
      <w:r w:rsidR="007C00AC" w:rsidRPr="00D32603">
        <w:rPr>
          <w:rStyle w:val="Hyperlink"/>
          <w:color w:val="auto"/>
        </w:rPr>
        <w:t xml:space="preserve"> </w:t>
      </w:r>
    </w:p>
    <w:p w14:paraId="4E4F04FD" w14:textId="3136B8B3" w:rsidR="009F50DD" w:rsidRPr="00D32603" w:rsidRDefault="00E367E4" w:rsidP="00CF6280">
      <w:pPr>
        <w:pStyle w:val="ListParagraph"/>
        <w:numPr>
          <w:ilvl w:val="0"/>
          <w:numId w:val="1"/>
        </w:numPr>
        <w:ind w:left="1418" w:hanging="425"/>
        <w:rPr>
          <w:rFonts w:cs="Arial"/>
          <w:u w:val="single"/>
        </w:rPr>
      </w:pPr>
      <w:r w:rsidRPr="0075670B">
        <w:rPr>
          <w:rFonts w:cs="Arial"/>
        </w:rPr>
        <w:fldChar w:fldCharType="end"/>
      </w:r>
      <w:r w:rsidR="00B37BDC" w:rsidRPr="00D26914">
        <w:t>Member’s Code of Conduct</w:t>
      </w:r>
      <w:r w:rsidR="009F50DD" w:rsidRPr="00D32603">
        <w:rPr>
          <w:rFonts w:cs="Arial"/>
          <w:u w:val="single"/>
        </w:rPr>
        <w:t xml:space="preserve"> </w:t>
      </w:r>
    </w:p>
    <w:p w14:paraId="4E4F04FE" w14:textId="1B587249" w:rsidR="00AF7892" w:rsidRPr="00D32603" w:rsidRDefault="00B37BDC" w:rsidP="00CF6280">
      <w:pPr>
        <w:pStyle w:val="ListParagraph"/>
        <w:numPr>
          <w:ilvl w:val="0"/>
          <w:numId w:val="1"/>
        </w:numPr>
        <w:ind w:left="1418" w:hanging="425"/>
        <w:rPr>
          <w:rFonts w:cs="Arial"/>
          <w:color w:val="365F91" w:themeColor="accent1" w:themeShade="BF"/>
          <w:u w:val="single"/>
        </w:rPr>
      </w:pPr>
      <w:r w:rsidRPr="00D26914">
        <w:t>Whistle Blowing Policy</w:t>
      </w:r>
    </w:p>
    <w:p w14:paraId="4E4F04FF" w14:textId="77777777" w:rsidR="00215D11" w:rsidRPr="001724A0" w:rsidRDefault="00215D11" w:rsidP="00AF7892">
      <w:pPr>
        <w:pStyle w:val="ListParagraph"/>
        <w:ind w:left="1440"/>
        <w:rPr>
          <w:rStyle w:val="Hyperlink"/>
          <w:color w:val="auto"/>
          <w:u w:val="none"/>
        </w:rPr>
      </w:pPr>
    </w:p>
    <w:p w14:paraId="4E4F0500" w14:textId="77777777" w:rsidR="00A02951" w:rsidRPr="001724A0" w:rsidRDefault="00A02951" w:rsidP="00E81515">
      <w:pPr>
        <w:pStyle w:val="ListParagraph"/>
        <w:numPr>
          <w:ilvl w:val="0"/>
          <w:numId w:val="4"/>
        </w:numPr>
        <w:ind w:left="709" w:hanging="709"/>
        <w:rPr>
          <w:rFonts w:cs="Arial"/>
          <w:b/>
          <w:vanish/>
        </w:rPr>
      </w:pPr>
    </w:p>
    <w:p w14:paraId="4E4F0501" w14:textId="77777777" w:rsidR="00A02951" w:rsidRPr="001724A0" w:rsidRDefault="00A02951" w:rsidP="00E81515">
      <w:pPr>
        <w:pStyle w:val="ListParagraph"/>
        <w:numPr>
          <w:ilvl w:val="0"/>
          <w:numId w:val="4"/>
        </w:numPr>
        <w:ind w:left="709" w:hanging="709"/>
        <w:rPr>
          <w:rFonts w:cs="Arial"/>
          <w:b/>
          <w:vanish/>
        </w:rPr>
      </w:pPr>
    </w:p>
    <w:p w14:paraId="4E4F0502" w14:textId="77777777" w:rsidR="00A02951" w:rsidRPr="001724A0" w:rsidRDefault="00A02951" w:rsidP="00E81515">
      <w:pPr>
        <w:pStyle w:val="ListParagraph"/>
        <w:numPr>
          <w:ilvl w:val="0"/>
          <w:numId w:val="4"/>
        </w:numPr>
        <w:ind w:left="709" w:hanging="709"/>
        <w:rPr>
          <w:rFonts w:cs="Arial"/>
          <w:b/>
          <w:vanish/>
        </w:rPr>
      </w:pPr>
    </w:p>
    <w:p w14:paraId="4E4F0503" w14:textId="77777777" w:rsidR="00A02951" w:rsidRPr="001724A0" w:rsidRDefault="00A02951" w:rsidP="00E81515">
      <w:pPr>
        <w:pStyle w:val="ListParagraph"/>
        <w:numPr>
          <w:ilvl w:val="0"/>
          <w:numId w:val="4"/>
        </w:numPr>
        <w:ind w:left="709" w:hanging="709"/>
        <w:rPr>
          <w:rFonts w:cs="Arial"/>
          <w:b/>
          <w:vanish/>
        </w:rPr>
      </w:pPr>
    </w:p>
    <w:p w14:paraId="4E4F0504" w14:textId="77777777" w:rsidR="00A02951" w:rsidRPr="001724A0" w:rsidRDefault="00A02951" w:rsidP="00E81515">
      <w:pPr>
        <w:pStyle w:val="ListParagraph"/>
        <w:numPr>
          <w:ilvl w:val="0"/>
          <w:numId w:val="4"/>
        </w:numPr>
        <w:ind w:left="709" w:hanging="709"/>
        <w:rPr>
          <w:rFonts w:cs="Arial"/>
          <w:b/>
          <w:vanish/>
        </w:rPr>
      </w:pPr>
    </w:p>
    <w:p w14:paraId="4E4F0505" w14:textId="77777777" w:rsidR="00A02951" w:rsidRPr="001724A0" w:rsidRDefault="00A02951" w:rsidP="00E81515">
      <w:pPr>
        <w:pStyle w:val="ListParagraph"/>
        <w:numPr>
          <w:ilvl w:val="0"/>
          <w:numId w:val="4"/>
        </w:numPr>
        <w:ind w:left="709" w:hanging="709"/>
        <w:rPr>
          <w:rFonts w:cs="Arial"/>
          <w:b/>
          <w:vanish/>
        </w:rPr>
      </w:pPr>
    </w:p>
    <w:p w14:paraId="4E4F0506" w14:textId="77777777" w:rsidR="00A02951" w:rsidRPr="001724A0" w:rsidRDefault="00A02951" w:rsidP="00E81515">
      <w:pPr>
        <w:pStyle w:val="ListParagraph"/>
        <w:numPr>
          <w:ilvl w:val="0"/>
          <w:numId w:val="4"/>
        </w:numPr>
        <w:ind w:left="709" w:hanging="709"/>
        <w:rPr>
          <w:rFonts w:cs="Arial"/>
          <w:b/>
          <w:vanish/>
        </w:rPr>
      </w:pPr>
    </w:p>
    <w:p w14:paraId="4E4F0507" w14:textId="77777777" w:rsidR="0038182F" w:rsidRDefault="0038182F" w:rsidP="00E81515">
      <w:pPr>
        <w:pStyle w:val="Heading1"/>
        <w:numPr>
          <w:ilvl w:val="0"/>
          <w:numId w:val="5"/>
        </w:numPr>
        <w:ind w:left="709" w:hanging="709"/>
        <w:rPr>
          <w:rFonts w:cs="Arial"/>
          <w:color w:val="auto"/>
        </w:rPr>
      </w:pPr>
      <w:bookmarkStart w:id="15" w:name="_Toc532466649"/>
      <w:bookmarkStart w:id="16" w:name="_Toc510540529"/>
      <w:r w:rsidRPr="001724A0">
        <w:rPr>
          <w:rFonts w:cs="Arial"/>
          <w:color w:val="auto"/>
        </w:rPr>
        <w:t>Roles &amp; Responsibilities</w:t>
      </w:r>
      <w:bookmarkEnd w:id="15"/>
    </w:p>
    <w:p w14:paraId="4E4F0508" w14:textId="77777777" w:rsidR="0044586E" w:rsidRDefault="0044586E" w:rsidP="0044586E">
      <w:pPr>
        <w:rPr>
          <w:lang w:eastAsia="en-GB"/>
        </w:rPr>
      </w:pPr>
    </w:p>
    <w:p w14:paraId="4E4F0509" w14:textId="77777777" w:rsidR="006E321B" w:rsidRPr="007C7ABB" w:rsidRDefault="0044586E" w:rsidP="0044586E">
      <w:pPr>
        <w:rPr>
          <w:lang w:eastAsia="en-GB"/>
        </w:rPr>
      </w:pPr>
      <w:r>
        <w:rPr>
          <w:lang w:eastAsia="en-GB"/>
        </w:rPr>
        <w:t>7.1</w:t>
      </w:r>
      <w:r>
        <w:rPr>
          <w:lang w:eastAsia="en-GB"/>
        </w:rPr>
        <w:tab/>
      </w:r>
      <w:r w:rsidR="003366E1" w:rsidRPr="001724A0">
        <w:rPr>
          <w:lang w:eastAsia="en-GB"/>
        </w:rPr>
        <w:t xml:space="preserve">All Employees, members and volunteers </w:t>
      </w:r>
      <w:r w:rsidR="007C7ABB">
        <w:rPr>
          <w:lang w:eastAsia="en-GB"/>
        </w:rPr>
        <w:t>a</w:t>
      </w:r>
      <w:r w:rsidR="003366E1" w:rsidRPr="001724A0">
        <w:rPr>
          <w:lang w:eastAsia="en-GB"/>
        </w:rPr>
        <w:t xml:space="preserve">re responsible for carrying out their </w:t>
      </w:r>
      <w:r w:rsidR="007C7ABB">
        <w:rPr>
          <w:lang w:eastAsia="en-GB"/>
        </w:rPr>
        <w:tab/>
      </w:r>
      <w:r w:rsidR="003366E1" w:rsidRPr="001724A0">
        <w:rPr>
          <w:lang w:eastAsia="en-GB"/>
        </w:rPr>
        <w:t xml:space="preserve">duties in a way that </w:t>
      </w:r>
      <w:r w:rsidR="006E321B" w:rsidRPr="007C7ABB">
        <w:rPr>
          <w:rFonts w:cs="Arial"/>
        </w:rPr>
        <w:t>prevents money laundering as follows:</w:t>
      </w:r>
    </w:p>
    <w:p w14:paraId="4E4F050A" w14:textId="77777777" w:rsidR="006E321B" w:rsidRPr="001724A0" w:rsidRDefault="006E321B" w:rsidP="00E81515">
      <w:pPr>
        <w:pStyle w:val="ListParagraph"/>
        <w:numPr>
          <w:ilvl w:val="3"/>
          <w:numId w:val="14"/>
        </w:numPr>
        <w:autoSpaceDE w:val="0"/>
        <w:autoSpaceDN w:val="0"/>
        <w:adjustRightInd w:val="0"/>
        <w:spacing w:before="100" w:beforeAutospacing="1" w:after="100" w:afterAutospacing="1"/>
        <w:ind w:left="1418" w:hanging="425"/>
        <w:rPr>
          <w:rFonts w:cs="Arial"/>
        </w:rPr>
      </w:pPr>
      <w:r w:rsidRPr="001724A0">
        <w:rPr>
          <w:rFonts w:cs="Arial"/>
        </w:rPr>
        <w:t xml:space="preserve">To be alert to where the OCC may be targeted by individuals or businesses trying to launder the proceeds of </w:t>
      </w:r>
      <w:proofErr w:type="gramStart"/>
      <w:r w:rsidRPr="001724A0">
        <w:rPr>
          <w:rFonts w:cs="Arial"/>
        </w:rPr>
        <w:t>crime;</w:t>
      </w:r>
      <w:proofErr w:type="gramEnd"/>
    </w:p>
    <w:p w14:paraId="4E4F050B" w14:textId="77777777" w:rsidR="006E321B" w:rsidRPr="001724A0" w:rsidRDefault="006E321B" w:rsidP="00E81515">
      <w:pPr>
        <w:pStyle w:val="ListParagraph"/>
        <w:numPr>
          <w:ilvl w:val="3"/>
          <w:numId w:val="14"/>
        </w:numPr>
        <w:autoSpaceDE w:val="0"/>
        <w:autoSpaceDN w:val="0"/>
        <w:adjustRightInd w:val="0"/>
        <w:spacing w:before="100" w:beforeAutospacing="1" w:after="100" w:afterAutospacing="1"/>
        <w:ind w:left="1418" w:hanging="425"/>
        <w:rPr>
          <w:rFonts w:cs="Arial"/>
        </w:rPr>
      </w:pPr>
      <w:r w:rsidRPr="001724A0">
        <w:rPr>
          <w:rFonts w:cs="Arial"/>
        </w:rPr>
        <w:t>To avoid alerting anyone dealing with OCC that you have a suspicion they may be attempting to launder, or have laundered, the proceeds of crime; and</w:t>
      </w:r>
    </w:p>
    <w:p w14:paraId="4E4F050C" w14:textId="77777777" w:rsidR="00B80531" w:rsidRDefault="006E321B" w:rsidP="00E81515">
      <w:pPr>
        <w:pStyle w:val="ListParagraph"/>
        <w:numPr>
          <w:ilvl w:val="3"/>
          <w:numId w:val="14"/>
        </w:numPr>
        <w:autoSpaceDE w:val="0"/>
        <w:autoSpaceDN w:val="0"/>
        <w:adjustRightInd w:val="0"/>
        <w:ind w:left="1418" w:hanging="425"/>
        <w:rPr>
          <w:rFonts w:cs="Arial"/>
        </w:rPr>
      </w:pPr>
      <w:r w:rsidRPr="00B80531">
        <w:rPr>
          <w:rFonts w:cs="Arial"/>
        </w:rPr>
        <w:t>To report any suspicions of money laundering to OCC’s MLRO using the specified documentation</w:t>
      </w:r>
    </w:p>
    <w:p w14:paraId="4E4F050D" w14:textId="77777777" w:rsidR="00B80531" w:rsidRPr="00B80531" w:rsidRDefault="00B80531" w:rsidP="00B80531">
      <w:pPr>
        <w:autoSpaceDE w:val="0"/>
        <w:autoSpaceDN w:val="0"/>
        <w:adjustRightInd w:val="0"/>
        <w:ind w:left="1080"/>
        <w:rPr>
          <w:rFonts w:cs="Arial"/>
        </w:rPr>
      </w:pPr>
    </w:p>
    <w:p w14:paraId="4E4F050E" w14:textId="77777777" w:rsidR="00B80531" w:rsidRDefault="0044586E" w:rsidP="0044586E">
      <w:pPr>
        <w:rPr>
          <w:lang w:eastAsia="en-GB"/>
        </w:rPr>
      </w:pPr>
      <w:r>
        <w:rPr>
          <w:lang w:eastAsia="en-GB"/>
        </w:rPr>
        <w:t>7.2</w:t>
      </w:r>
      <w:r>
        <w:rPr>
          <w:lang w:eastAsia="en-GB"/>
        </w:rPr>
        <w:tab/>
      </w:r>
      <w:r w:rsidR="00B80531" w:rsidRPr="00B80531">
        <w:rPr>
          <w:lang w:eastAsia="en-GB"/>
        </w:rPr>
        <w:t xml:space="preserve">It is not your responsibility to decide whether a suspicious transaction </w:t>
      </w:r>
      <w:r w:rsidR="00B80531" w:rsidRPr="00B80531">
        <w:rPr>
          <w:lang w:eastAsia="en-GB"/>
        </w:rPr>
        <w:tab/>
      </w:r>
      <w:r w:rsidR="00B80531">
        <w:rPr>
          <w:lang w:eastAsia="en-GB"/>
        </w:rPr>
        <w:tab/>
      </w:r>
      <w:proofErr w:type="gramStart"/>
      <w:r w:rsidR="00B80531" w:rsidRPr="00B80531">
        <w:rPr>
          <w:lang w:eastAsia="en-GB"/>
        </w:rPr>
        <w:t>actually constitutes</w:t>
      </w:r>
      <w:proofErr w:type="gramEnd"/>
      <w:r w:rsidR="00B80531" w:rsidRPr="00B80531">
        <w:rPr>
          <w:lang w:eastAsia="en-GB"/>
        </w:rPr>
        <w:t xml:space="preserve"> money laundering. </w:t>
      </w:r>
    </w:p>
    <w:p w14:paraId="4E4F050F" w14:textId="77777777" w:rsidR="0044586E" w:rsidRDefault="0044586E" w:rsidP="0044586E">
      <w:pPr>
        <w:rPr>
          <w:lang w:eastAsia="en-GB"/>
        </w:rPr>
      </w:pPr>
    </w:p>
    <w:p w14:paraId="4E4F0510" w14:textId="77777777" w:rsidR="00B80531" w:rsidRDefault="0044586E" w:rsidP="0044586E">
      <w:pPr>
        <w:rPr>
          <w:lang w:eastAsia="en-GB"/>
        </w:rPr>
      </w:pPr>
      <w:r>
        <w:rPr>
          <w:lang w:eastAsia="en-GB"/>
        </w:rPr>
        <w:t>7.3</w:t>
      </w:r>
      <w:r w:rsidR="00B80531">
        <w:rPr>
          <w:lang w:eastAsia="en-GB"/>
        </w:rPr>
        <w:tab/>
      </w:r>
      <w:r w:rsidR="00B80531" w:rsidRPr="00B80531">
        <w:rPr>
          <w:lang w:eastAsia="en-GB"/>
        </w:rPr>
        <w:t xml:space="preserve">Failure to comply with the procedures set out in this Policy may lead to </w:t>
      </w:r>
      <w:r w:rsidR="00B80531" w:rsidRPr="00B80531">
        <w:rPr>
          <w:lang w:eastAsia="en-GB"/>
        </w:rPr>
        <w:tab/>
        <w:t xml:space="preserve">disciplinary action being taken </w:t>
      </w:r>
      <w:r w:rsidR="00907AEF">
        <w:rPr>
          <w:lang w:eastAsia="en-GB"/>
        </w:rPr>
        <w:t>i</w:t>
      </w:r>
      <w:r w:rsidR="00B80531" w:rsidRPr="00B80531">
        <w:rPr>
          <w:lang w:eastAsia="en-GB"/>
        </w:rPr>
        <w:t xml:space="preserve">n accordance with the Council’s Disciplinary </w:t>
      </w:r>
      <w:r w:rsidR="00907AEF">
        <w:rPr>
          <w:lang w:eastAsia="en-GB"/>
        </w:rPr>
        <w:tab/>
      </w:r>
      <w:r w:rsidR="00B80531" w:rsidRPr="00B80531">
        <w:rPr>
          <w:lang w:eastAsia="en-GB"/>
        </w:rPr>
        <w:t xml:space="preserve">Policy. </w:t>
      </w:r>
    </w:p>
    <w:p w14:paraId="4E4F0511" w14:textId="77777777" w:rsidR="003366E1" w:rsidRPr="001724A0" w:rsidRDefault="003366E1" w:rsidP="003366E1">
      <w:pPr>
        <w:rPr>
          <w:lang w:eastAsia="en-GB"/>
        </w:rPr>
      </w:pPr>
    </w:p>
    <w:p w14:paraId="4E4F0512" w14:textId="5CB70460" w:rsidR="0084624B" w:rsidRPr="008945BB" w:rsidRDefault="008945BB" w:rsidP="008945BB">
      <w:pPr>
        <w:rPr>
          <w:b/>
          <w:lang w:eastAsia="en-GB"/>
        </w:rPr>
      </w:pPr>
      <w:r w:rsidRPr="008945BB">
        <w:rPr>
          <w:lang w:eastAsia="en-GB"/>
        </w:rPr>
        <w:t>7.4</w:t>
      </w:r>
      <w:r w:rsidR="0084624B" w:rsidRPr="008945BB">
        <w:rPr>
          <w:b/>
          <w:lang w:eastAsia="en-GB"/>
        </w:rPr>
        <w:t xml:space="preserve">     The Designated </w:t>
      </w:r>
      <w:r w:rsidR="00901F97">
        <w:rPr>
          <w:b/>
          <w:lang w:eastAsia="en-GB"/>
        </w:rPr>
        <w:t>Money Laundering Officer (</w:t>
      </w:r>
      <w:r w:rsidR="0084624B" w:rsidRPr="008945BB">
        <w:rPr>
          <w:b/>
          <w:lang w:eastAsia="en-GB"/>
        </w:rPr>
        <w:t>MLRO</w:t>
      </w:r>
      <w:r w:rsidR="00901F97">
        <w:rPr>
          <w:b/>
          <w:lang w:eastAsia="en-GB"/>
        </w:rPr>
        <w:t>)</w:t>
      </w:r>
    </w:p>
    <w:p w14:paraId="4E4F0513" w14:textId="77777777" w:rsidR="00B80531" w:rsidRDefault="00B80531" w:rsidP="00B80531">
      <w:pPr>
        <w:rPr>
          <w:lang w:eastAsia="en-GB"/>
        </w:rPr>
      </w:pPr>
      <w:r>
        <w:rPr>
          <w:lang w:eastAsia="en-GB"/>
        </w:rPr>
        <w:tab/>
      </w:r>
    </w:p>
    <w:p w14:paraId="4E4F0514" w14:textId="77777777" w:rsidR="00B80531" w:rsidRPr="00B80531" w:rsidRDefault="00B80531" w:rsidP="00B80531">
      <w:pPr>
        <w:rPr>
          <w:lang w:eastAsia="en-GB"/>
        </w:rPr>
      </w:pPr>
      <w:r>
        <w:rPr>
          <w:lang w:eastAsia="en-GB"/>
        </w:rPr>
        <w:tab/>
      </w:r>
      <w:r w:rsidRPr="00B80531">
        <w:rPr>
          <w:lang w:eastAsia="en-GB"/>
        </w:rPr>
        <w:t xml:space="preserve">Oxford City Council has nominated the Section 151 Officer to be the MLRO, </w:t>
      </w:r>
      <w:r w:rsidRPr="00B80531">
        <w:rPr>
          <w:lang w:eastAsia="en-GB"/>
        </w:rPr>
        <w:tab/>
        <w:t xml:space="preserve">and to be responsible for anti-money laundering measures within OCC. This </w:t>
      </w:r>
      <w:r w:rsidRPr="00B80531">
        <w:rPr>
          <w:lang w:eastAsia="en-GB"/>
        </w:rPr>
        <w:tab/>
        <w:t xml:space="preserve">includes responsibility for: </w:t>
      </w:r>
    </w:p>
    <w:p w14:paraId="4E4F0515" w14:textId="77777777" w:rsidR="00B80531" w:rsidRPr="00B80531" w:rsidRDefault="00B80531" w:rsidP="00E81515">
      <w:pPr>
        <w:pStyle w:val="ListParagraph"/>
        <w:numPr>
          <w:ilvl w:val="1"/>
          <w:numId w:val="19"/>
        </w:numPr>
        <w:ind w:left="851" w:firstLine="142"/>
        <w:rPr>
          <w:lang w:eastAsia="en-GB"/>
        </w:rPr>
      </w:pPr>
      <w:r w:rsidRPr="00B80531">
        <w:rPr>
          <w:lang w:eastAsia="en-GB"/>
        </w:rPr>
        <w:t xml:space="preserve">Compliance with legislation and regulatory </w:t>
      </w:r>
      <w:proofErr w:type="gramStart"/>
      <w:r w:rsidRPr="00B80531">
        <w:rPr>
          <w:lang w:eastAsia="en-GB"/>
        </w:rPr>
        <w:t>guidance;</w:t>
      </w:r>
      <w:proofErr w:type="gramEnd"/>
    </w:p>
    <w:p w14:paraId="4E4F0516" w14:textId="77777777" w:rsidR="00B80531" w:rsidRPr="00B80531" w:rsidRDefault="00B80531" w:rsidP="00E81515">
      <w:pPr>
        <w:pStyle w:val="ListParagraph"/>
        <w:numPr>
          <w:ilvl w:val="1"/>
          <w:numId w:val="19"/>
        </w:numPr>
        <w:ind w:left="851" w:firstLine="142"/>
        <w:rPr>
          <w:lang w:eastAsia="en-GB"/>
        </w:rPr>
      </w:pPr>
      <w:r w:rsidRPr="00B80531">
        <w:rPr>
          <w:lang w:eastAsia="en-GB"/>
        </w:rPr>
        <w:t xml:space="preserve">Ensuring compliance with OCC Anti-Money Laundering </w:t>
      </w:r>
      <w:proofErr w:type="gramStart"/>
      <w:r w:rsidRPr="00B80531">
        <w:rPr>
          <w:lang w:eastAsia="en-GB"/>
        </w:rPr>
        <w:t>Policy;</w:t>
      </w:r>
      <w:proofErr w:type="gramEnd"/>
    </w:p>
    <w:p w14:paraId="4E4F0517" w14:textId="77777777" w:rsidR="00B80531" w:rsidRPr="00B80531" w:rsidRDefault="00B80531" w:rsidP="00E81515">
      <w:pPr>
        <w:pStyle w:val="ListParagraph"/>
        <w:numPr>
          <w:ilvl w:val="1"/>
          <w:numId w:val="19"/>
        </w:numPr>
        <w:ind w:left="851" w:firstLine="142"/>
        <w:rPr>
          <w:lang w:eastAsia="en-GB"/>
        </w:rPr>
      </w:pPr>
      <w:r w:rsidRPr="00B80531">
        <w:rPr>
          <w:lang w:eastAsia="en-GB"/>
        </w:rPr>
        <w:t xml:space="preserve">Ensuring relevant staff receive </w:t>
      </w:r>
      <w:proofErr w:type="gramStart"/>
      <w:r w:rsidRPr="00B80531">
        <w:rPr>
          <w:lang w:eastAsia="en-GB"/>
        </w:rPr>
        <w:t>training;</w:t>
      </w:r>
      <w:proofErr w:type="gramEnd"/>
    </w:p>
    <w:p w14:paraId="4E4F0518" w14:textId="77777777" w:rsidR="004A4514" w:rsidRPr="00B80531" w:rsidRDefault="00B80531" w:rsidP="00E81515">
      <w:pPr>
        <w:pStyle w:val="ListParagraph"/>
        <w:numPr>
          <w:ilvl w:val="1"/>
          <w:numId w:val="19"/>
        </w:numPr>
        <w:ind w:left="851" w:firstLine="142"/>
        <w:rPr>
          <w:lang w:eastAsia="en-GB"/>
        </w:rPr>
      </w:pPr>
      <w:r w:rsidRPr="00B80531">
        <w:rPr>
          <w:lang w:eastAsia="en-GB"/>
        </w:rPr>
        <w:t xml:space="preserve">Deciding whether a suspicious activity report requires disclosure </w:t>
      </w:r>
      <w:r w:rsidR="00907AEF">
        <w:rPr>
          <w:lang w:eastAsia="en-GB"/>
        </w:rPr>
        <w:tab/>
      </w:r>
      <w:r w:rsidR="00907AEF">
        <w:rPr>
          <w:lang w:eastAsia="en-GB"/>
        </w:rPr>
        <w:tab/>
      </w:r>
      <w:r w:rsidRPr="00B80531">
        <w:rPr>
          <w:lang w:eastAsia="en-GB"/>
        </w:rPr>
        <w:t>to the National Crime Agency (“NCA”) and ensuring that all</w:t>
      </w:r>
      <w:r w:rsidR="0000051B">
        <w:rPr>
          <w:lang w:eastAsia="en-GB"/>
        </w:rPr>
        <w:t xml:space="preserve"> </w:t>
      </w:r>
      <w:r w:rsidRPr="00B80531">
        <w:rPr>
          <w:lang w:eastAsia="en-GB"/>
        </w:rPr>
        <w:t>necessary</w:t>
      </w:r>
      <w:r w:rsidR="0000051B">
        <w:rPr>
          <w:lang w:eastAsia="en-GB"/>
        </w:rPr>
        <w:t xml:space="preserve"> </w:t>
      </w:r>
      <w:r w:rsidR="0000051B">
        <w:rPr>
          <w:lang w:eastAsia="en-GB"/>
        </w:rPr>
        <w:tab/>
      </w:r>
      <w:r w:rsidRPr="00B80531">
        <w:rPr>
          <w:lang w:eastAsia="en-GB"/>
        </w:rPr>
        <w:t xml:space="preserve">disclosures to the NCA are made as quickly as </w:t>
      </w:r>
      <w:r w:rsidR="00907AEF">
        <w:rPr>
          <w:lang w:eastAsia="en-GB"/>
        </w:rPr>
        <w:tab/>
      </w:r>
      <w:r w:rsidRPr="00B80531">
        <w:rPr>
          <w:lang w:eastAsia="en-GB"/>
        </w:rPr>
        <w:t>possible.</w:t>
      </w:r>
    </w:p>
    <w:p w14:paraId="4E4F0519" w14:textId="77777777" w:rsidR="00AD1983" w:rsidRPr="001724A0" w:rsidRDefault="00AD1983" w:rsidP="00AD1983">
      <w:pPr>
        <w:pStyle w:val="ListParagraph"/>
        <w:autoSpaceDE w:val="0"/>
        <w:autoSpaceDN w:val="0"/>
        <w:adjustRightInd w:val="0"/>
        <w:spacing w:before="100" w:beforeAutospacing="1" w:after="100" w:afterAutospacing="1"/>
        <w:ind w:left="360"/>
        <w:rPr>
          <w:rFonts w:cs="Arial"/>
        </w:rPr>
      </w:pPr>
    </w:p>
    <w:p w14:paraId="4E4F051A" w14:textId="77777777" w:rsidR="004A4514" w:rsidRDefault="008945BB" w:rsidP="008945BB">
      <w:pPr>
        <w:rPr>
          <w:lang w:eastAsia="en-GB"/>
        </w:rPr>
      </w:pPr>
      <w:r>
        <w:rPr>
          <w:lang w:eastAsia="en-GB"/>
        </w:rPr>
        <w:t>7.5</w:t>
      </w:r>
      <w:r w:rsidR="0084624B" w:rsidRPr="001724A0">
        <w:rPr>
          <w:lang w:eastAsia="en-GB"/>
        </w:rPr>
        <w:t xml:space="preserve">     </w:t>
      </w:r>
      <w:r w:rsidR="004A4514" w:rsidRPr="004A4514">
        <w:rPr>
          <w:lang w:eastAsia="en-GB"/>
        </w:rPr>
        <w:t xml:space="preserve">The current MLRO is Nigel Kennedy who can be contacted on 01865 252708 </w:t>
      </w:r>
      <w:r w:rsidR="004A4514">
        <w:rPr>
          <w:lang w:eastAsia="en-GB"/>
        </w:rPr>
        <w:tab/>
      </w:r>
      <w:r w:rsidR="004A4514" w:rsidRPr="004A4514">
        <w:rPr>
          <w:lang w:eastAsia="en-GB"/>
        </w:rPr>
        <w:t xml:space="preserve">or at </w:t>
      </w:r>
      <w:hyperlink r:id="rId10" w:history="1">
        <w:r w:rsidR="004A4514" w:rsidRPr="008945BB">
          <w:rPr>
            <w:rStyle w:val="Hyperlink"/>
            <w:rFonts w:cs="Times New Roman"/>
            <w:noProof w:val="0"/>
            <w:lang w:eastAsia="en-GB"/>
          </w:rPr>
          <w:t>nkennedy@oxford.gov.uk</w:t>
        </w:r>
      </w:hyperlink>
      <w:r w:rsidR="004A4514" w:rsidRPr="004A4514">
        <w:rPr>
          <w:lang w:eastAsia="en-GB"/>
        </w:rPr>
        <w:t>.</w:t>
      </w:r>
    </w:p>
    <w:p w14:paraId="4E4F051B" w14:textId="77777777" w:rsidR="004A4514" w:rsidRDefault="004A4514" w:rsidP="004A4514">
      <w:pPr>
        <w:rPr>
          <w:lang w:eastAsia="en-GB"/>
        </w:rPr>
      </w:pPr>
    </w:p>
    <w:p w14:paraId="4E4F051C" w14:textId="77777777" w:rsidR="004A4514" w:rsidRDefault="008945BB" w:rsidP="008945BB">
      <w:pPr>
        <w:rPr>
          <w:lang w:eastAsia="en-GB"/>
        </w:rPr>
      </w:pPr>
      <w:r>
        <w:rPr>
          <w:lang w:eastAsia="en-GB"/>
        </w:rPr>
        <w:t>7.6</w:t>
      </w:r>
      <w:r w:rsidR="004A4514">
        <w:rPr>
          <w:lang w:eastAsia="en-GB"/>
        </w:rPr>
        <w:tab/>
      </w:r>
      <w:r w:rsidR="004A4514" w:rsidRPr="004A4514">
        <w:rPr>
          <w:lang w:eastAsia="en-GB"/>
        </w:rPr>
        <w:t>In the absence of the MLRO</w:t>
      </w:r>
      <w:r w:rsidR="0000051B">
        <w:rPr>
          <w:lang w:eastAsia="en-GB"/>
        </w:rPr>
        <w:t>,</w:t>
      </w:r>
      <w:r w:rsidR="004A4514" w:rsidRPr="004A4514">
        <w:rPr>
          <w:lang w:eastAsia="en-GB"/>
        </w:rPr>
        <w:t xml:space="preserve"> or in instances where it is suspected that the </w:t>
      </w:r>
      <w:r w:rsidR="004A4514">
        <w:rPr>
          <w:lang w:eastAsia="en-GB"/>
        </w:rPr>
        <w:tab/>
      </w:r>
      <w:r w:rsidR="004A4514" w:rsidRPr="004A4514">
        <w:rPr>
          <w:lang w:eastAsia="en-GB"/>
        </w:rPr>
        <w:t xml:space="preserve">MLRO themselves are involved in suspicious transactions, concerns should </w:t>
      </w:r>
      <w:r w:rsidR="004A4514">
        <w:rPr>
          <w:lang w:eastAsia="en-GB"/>
        </w:rPr>
        <w:lastRenderedPageBreak/>
        <w:tab/>
      </w:r>
      <w:r w:rsidR="004A4514" w:rsidRPr="004A4514">
        <w:rPr>
          <w:lang w:eastAsia="en-GB"/>
        </w:rPr>
        <w:t>be raised with the Deputy MLRO</w:t>
      </w:r>
      <w:r w:rsidR="0000051B">
        <w:rPr>
          <w:lang w:eastAsia="en-GB"/>
        </w:rPr>
        <w:t>,</w:t>
      </w:r>
      <w:r w:rsidR="004A4514" w:rsidRPr="004A4514">
        <w:rPr>
          <w:lang w:eastAsia="en-GB"/>
        </w:rPr>
        <w:t xml:space="preserve"> Scott Warner, Investigation Manager who </w:t>
      </w:r>
      <w:r w:rsidR="004A4514">
        <w:rPr>
          <w:lang w:eastAsia="en-GB"/>
        </w:rPr>
        <w:tab/>
      </w:r>
      <w:r w:rsidR="004A4514" w:rsidRPr="004A4514">
        <w:rPr>
          <w:lang w:eastAsia="en-GB"/>
        </w:rPr>
        <w:t xml:space="preserve">can be contacted on 01865 252158 or at </w:t>
      </w:r>
      <w:hyperlink r:id="rId11" w:history="1">
        <w:r w:rsidR="004A4514" w:rsidRPr="008945BB">
          <w:rPr>
            <w:rStyle w:val="Hyperlink"/>
            <w:rFonts w:cs="Times New Roman"/>
            <w:noProof w:val="0"/>
            <w:lang w:eastAsia="en-GB"/>
          </w:rPr>
          <w:t>swarner@oxford.gov.uk</w:t>
        </w:r>
      </w:hyperlink>
    </w:p>
    <w:p w14:paraId="4E4F051D" w14:textId="77777777" w:rsidR="004A4514" w:rsidRDefault="004A4514" w:rsidP="004A4514">
      <w:pPr>
        <w:rPr>
          <w:lang w:eastAsia="en-GB"/>
        </w:rPr>
      </w:pPr>
    </w:p>
    <w:p w14:paraId="4E4F051E" w14:textId="77777777" w:rsidR="004A4514" w:rsidRPr="004A4514" w:rsidRDefault="008945BB" w:rsidP="008945BB">
      <w:pPr>
        <w:rPr>
          <w:lang w:eastAsia="en-GB"/>
        </w:rPr>
      </w:pPr>
      <w:r>
        <w:rPr>
          <w:lang w:eastAsia="en-GB"/>
        </w:rPr>
        <w:t>7.7</w:t>
      </w:r>
      <w:r w:rsidR="004A4514">
        <w:rPr>
          <w:lang w:eastAsia="en-GB"/>
        </w:rPr>
        <w:tab/>
      </w:r>
      <w:r w:rsidR="004A4514" w:rsidRPr="004A4514">
        <w:rPr>
          <w:lang w:eastAsia="en-GB"/>
        </w:rPr>
        <w:t xml:space="preserve">It is the MLRO’s sole responsibility to ensure that OCC is compliant with the </w:t>
      </w:r>
      <w:r w:rsidR="004A4514">
        <w:rPr>
          <w:lang w:eastAsia="en-GB"/>
        </w:rPr>
        <w:tab/>
      </w:r>
      <w:r w:rsidR="004A4514" w:rsidRPr="004A4514">
        <w:rPr>
          <w:lang w:eastAsia="en-GB"/>
        </w:rPr>
        <w:t xml:space="preserve">relevant legislation and regulatory guidance. No responsibility for this will at </w:t>
      </w:r>
      <w:r w:rsidR="004A4514">
        <w:rPr>
          <w:lang w:eastAsia="en-GB"/>
        </w:rPr>
        <w:tab/>
      </w:r>
      <w:r w:rsidR="004A4514" w:rsidRPr="004A4514">
        <w:rPr>
          <w:lang w:eastAsia="en-GB"/>
        </w:rPr>
        <w:t>any time will be delegated to any other Officer.</w:t>
      </w:r>
    </w:p>
    <w:p w14:paraId="4E4F051F" w14:textId="77777777" w:rsidR="004A4514" w:rsidRDefault="004A4514" w:rsidP="004A4514">
      <w:pPr>
        <w:rPr>
          <w:lang w:eastAsia="en-GB"/>
        </w:rPr>
      </w:pPr>
    </w:p>
    <w:p w14:paraId="2A4034A2" w14:textId="77777777" w:rsidR="004817BA" w:rsidRDefault="004817BA" w:rsidP="004A4514">
      <w:pPr>
        <w:rPr>
          <w:lang w:eastAsia="en-GB"/>
        </w:rPr>
      </w:pPr>
    </w:p>
    <w:p w14:paraId="4E4F0521" w14:textId="77777777" w:rsidR="0075670B" w:rsidRDefault="0075670B" w:rsidP="00D32603">
      <w:pPr>
        <w:ind w:left="720"/>
        <w:rPr>
          <w:b/>
          <w:lang w:eastAsia="en-GB"/>
        </w:rPr>
      </w:pPr>
      <w:r w:rsidRPr="00D32603">
        <w:rPr>
          <w:b/>
          <w:lang w:eastAsia="en-GB"/>
        </w:rPr>
        <w:t>Other Responsible Officers</w:t>
      </w:r>
    </w:p>
    <w:p w14:paraId="4E4F0522" w14:textId="77777777" w:rsidR="005D1363" w:rsidRPr="00D32603" w:rsidRDefault="005D1363" w:rsidP="00D32603">
      <w:pPr>
        <w:ind w:left="720"/>
        <w:rPr>
          <w:b/>
          <w:lang w:eastAsia="en-GB"/>
        </w:rPr>
      </w:pPr>
    </w:p>
    <w:p w14:paraId="4E4F0523" w14:textId="2B252A65" w:rsidR="0084624B" w:rsidRPr="008945BB" w:rsidRDefault="008945BB" w:rsidP="008945BB">
      <w:pPr>
        <w:rPr>
          <w:b/>
          <w:lang w:eastAsia="en-GB"/>
        </w:rPr>
      </w:pPr>
      <w:r>
        <w:rPr>
          <w:lang w:eastAsia="en-GB"/>
        </w:rPr>
        <w:t>7.8</w:t>
      </w:r>
      <w:r w:rsidR="004A4514">
        <w:rPr>
          <w:lang w:eastAsia="en-GB"/>
        </w:rPr>
        <w:tab/>
      </w:r>
      <w:r w:rsidR="0084624B" w:rsidRPr="008945BB">
        <w:rPr>
          <w:b/>
          <w:lang w:eastAsia="en-GB"/>
        </w:rPr>
        <w:t xml:space="preserve">The </w:t>
      </w:r>
      <w:r w:rsidR="000A2547">
        <w:rPr>
          <w:b/>
          <w:lang w:eastAsia="en-GB"/>
        </w:rPr>
        <w:t>Counter Fraud</w:t>
      </w:r>
      <w:r w:rsidR="000A2547" w:rsidRPr="008945BB">
        <w:rPr>
          <w:b/>
          <w:lang w:eastAsia="en-GB"/>
        </w:rPr>
        <w:t xml:space="preserve"> </w:t>
      </w:r>
      <w:r w:rsidR="00C85FF0" w:rsidRPr="008945BB">
        <w:rPr>
          <w:b/>
          <w:lang w:eastAsia="en-GB"/>
        </w:rPr>
        <w:t>Team Manager</w:t>
      </w:r>
    </w:p>
    <w:p w14:paraId="4E4F0524" w14:textId="77777777" w:rsidR="003366E1" w:rsidRPr="001724A0" w:rsidRDefault="004A4514" w:rsidP="003366E1">
      <w:pPr>
        <w:rPr>
          <w:lang w:eastAsia="en-GB"/>
        </w:rPr>
      </w:pPr>
      <w:r>
        <w:rPr>
          <w:lang w:eastAsia="en-GB"/>
        </w:rPr>
        <w:tab/>
      </w:r>
      <w:r w:rsidR="00AD1983" w:rsidRPr="001724A0">
        <w:rPr>
          <w:lang w:eastAsia="en-GB"/>
        </w:rPr>
        <w:t xml:space="preserve">Responsible for ensuring </w:t>
      </w:r>
      <w:r w:rsidR="00C85FF0" w:rsidRPr="001724A0">
        <w:rPr>
          <w:lang w:eastAsia="en-GB"/>
        </w:rPr>
        <w:t xml:space="preserve">this </w:t>
      </w:r>
      <w:r w:rsidR="00AD1983" w:rsidRPr="001724A0">
        <w:rPr>
          <w:lang w:eastAsia="en-GB"/>
        </w:rPr>
        <w:t>policy is up to date</w:t>
      </w:r>
      <w:r w:rsidR="00C85FF0" w:rsidRPr="001724A0">
        <w:rPr>
          <w:lang w:eastAsia="en-GB"/>
        </w:rPr>
        <w:t xml:space="preserve"> and</w:t>
      </w:r>
      <w:r w:rsidR="00AD1983" w:rsidRPr="001724A0">
        <w:rPr>
          <w:lang w:eastAsia="en-GB"/>
        </w:rPr>
        <w:t xml:space="preserve"> that </w:t>
      </w:r>
      <w:r w:rsidR="003E0224" w:rsidRPr="001724A0">
        <w:rPr>
          <w:lang w:eastAsia="en-GB"/>
        </w:rPr>
        <w:t xml:space="preserve">a system is in place </w:t>
      </w:r>
      <w:r>
        <w:rPr>
          <w:lang w:eastAsia="en-GB"/>
        </w:rPr>
        <w:tab/>
      </w:r>
      <w:r w:rsidR="003E0224" w:rsidRPr="001724A0">
        <w:rPr>
          <w:lang w:eastAsia="en-GB"/>
        </w:rPr>
        <w:t xml:space="preserve">to ensure that </w:t>
      </w:r>
      <w:r w:rsidR="00AD1983" w:rsidRPr="001724A0">
        <w:rPr>
          <w:lang w:eastAsia="en-GB"/>
        </w:rPr>
        <w:t xml:space="preserve">managers are </w:t>
      </w:r>
      <w:r w:rsidR="003E0224" w:rsidRPr="001724A0">
        <w:rPr>
          <w:lang w:eastAsia="en-GB"/>
        </w:rPr>
        <w:t xml:space="preserve">informed about their duties in relation to this </w:t>
      </w:r>
      <w:r>
        <w:rPr>
          <w:lang w:eastAsia="en-GB"/>
        </w:rPr>
        <w:tab/>
      </w:r>
      <w:r w:rsidR="003E0224" w:rsidRPr="001724A0">
        <w:rPr>
          <w:lang w:eastAsia="en-GB"/>
        </w:rPr>
        <w:t xml:space="preserve">policy.  </w:t>
      </w:r>
    </w:p>
    <w:p w14:paraId="4E4F0525" w14:textId="77777777" w:rsidR="00AD1983" w:rsidRPr="001724A0" w:rsidRDefault="00AD1983" w:rsidP="003366E1">
      <w:pPr>
        <w:rPr>
          <w:lang w:eastAsia="en-GB"/>
        </w:rPr>
      </w:pPr>
    </w:p>
    <w:p w14:paraId="4E4F0526" w14:textId="77777777" w:rsidR="003366E1" w:rsidRPr="001724A0" w:rsidRDefault="008945BB" w:rsidP="008945BB">
      <w:pPr>
        <w:rPr>
          <w:lang w:eastAsia="en-GB"/>
        </w:rPr>
      </w:pPr>
      <w:r>
        <w:rPr>
          <w:lang w:eastAsia="en-GB"/>
        </w:rPr>
        <w:t>7.9</w:t>
      </w:r>
      <w:r w:rsidR="0000051B">
        <w:rPr>
          <w:lang w:eastAsia="en-GB"/>
        </w:rPr>
        <w:tab/>
      </w:r>
      <w:r w:rsidR="003366E1" w:rsidRPr="008945BB">
        <w:rPr>
          <w:b/>
          <w:lang w:eastAsia="en-GB"/>
        </w:rPr>
        <w:t>All Heads of Service</w:t>
      </w:r>
      <w:r w:rsidR="003366E1" w:rsidRPr="001724A0">
        <w:rPr>
          <w:lang w:eastAsia="en-GB"/>
        </w:rPr>
        <w:t xml:space="preserve"> </w:t>
      </w:r>
    </w:p>
    <w:p w14:paraId="4E4F0527" w14:textId="77777777" w:rsidR="003366E1" w:rsidRPr="001724A0" w:rsidRDefault="003366E1" w:rsidP="00D32603">
      <w:pPr>
        <w:ind w:left="720"/>
        <w:rPr>
          <w:lang w:eastAsia="en-GB"/>
        </w:rPr>
      </w:pPr>
      <w:r w:rsidRPr="001724A0">
        <w:rPr>
          <w:lang w:eastAsia="en-GB"/>
        </w:rPr>
        <w:t>Must ensure that their employee</w:t>
      </w:r>
      <w:r w:rsidR="007A6244" w:rsidRPr="001724A0">
        <w:rPr>
          <w:lang w:eastAsia="en-GB"/>
        </w:rPr>
        <w:t xml:space="preserve">s, members and volunteers </w:t>
      </w:r>
      <w:r w:rsidRPr="001724A0">
        <w:rPr>
          <w:lang w:eastAsia="en-GB"/>
        </w:rPr>
        <w:t>comply with the</w:t>
      </w:r>
      <w:r w:rsidR="005D1363">
        <w:rPr>
          <w:lang w:eastAsia="en-GB"/>
        </w:rPr>
        <w:t xml:space="preserve"> </w:t>
      </w:r>
      <w:r w:rsidR="007A6244" w:rsidRPr="001724A0">
        <w:rPr>
          <w:lang w:eastAsia="en-GB"/>
        </w:rPr>
        <w:t>Anti-Money Laundering</w:t>
      </w:r>
      <w:r w:rsidRPr="001724A0">
        <w:rPr>
          <w:lang w:eastAsia="en-GB"/>
        </w:rPr>
        <w:t xml:space="preserve"> Policy and Procedures</w:t>
      </w:r>
      <w:r w:rsidR="005D1363">
        <w:rPr>
          <w:lang w:eastAsia="en-GB"/>
        </w:rPr>
        <w:t xml:space="preserve"> and attend relevant training </w:t>
      </w:r>
      <w:proofErr w:type="gramStart"/>
      <w:r w:rsidR="005D1363">
        <w:rPr>
          <w:lang w:eastAsia="en-GB"/>
        </w:rPr>
        <w:t>sessions</w:t>
      </w:r>
      <w:proofErr w:type="gramEnd"/>
    </w:p>
    <w:p w14:paraId="4E4F0528" w14:textId="77777777" w:rsidR="003366E1" w:rsidRPr="001724A0" w:rsidRDefault="003366E1" w:rsidP="003366E1">
      <w:pPr>
        <w:rPr>
          <w:lang w:eastAsia="en-GB"/>
        </w:rPr>
      </w:pPr>
    </w:p>
    <w:p w14:paraId="4E4F0529" w14:textId="77777777" w:rsidR="00C85FF0" w:rsidRPr="008945BB" w:rsidRDefault="008945BB" w:rsidP="008945BB">
      <w:pPr>
        <w:rPr>
          <w:b/>
          <w:lang w:eastAsia="en-GB"/>
        </w:rPr>
      </w:pPr>
      <w:r>
        <w:rPr>
          <w:lang w:eastAsia="en-GB"/>
        </w:rPr>
        <w:t>7.10</w:t>
      </w:r>
      <w:r>
        <w:rPr>
          <w:b/>
          <w:lang w:eastAsia="en-GB"/>
        </w:rPr>
        <w:tab/>
      </w:r>
      <w:r w:rsidR="003366E1" w:rsidRPr="008945BB">
        <w:rPr>
          <w:b/>
          <w:lang w:eastAsia="en-GB"/>
        </w:rPr>
        <w:t xml:space="preserve">All Line Managers </w:t>
      </w:r>
    </w:p>
    <w:p w14:paraId="4E4F052A" w14:textId="77777777" w:rsidR="003E11BC" w:rsidRPr="001724A0" w:rsidRDefault="004A4514" w:rsidP="00C85FF0">
      <w:pPr>
        <w:rPr>
          <w:lang w:eastAsia="en-GB"/>
        </w:rPr>
      </w:pPr>
      <w:r>
        <w:rPr>
          <w:lang w:eastAsia="en-GB"/>
        </w:rPr>
        <w:tab/>
      </w:r>
      <w:r w:rsidR="003366E1" w:rsidRPr="001724A0">
        <w:rPr>
          <w:lang w:eastAsia="en-GB"/>
        </w:rPr>
        <w:t xml:space="preserve">Are responsible for ensuring that their </w:t>
      </w:r>
      <w:r w:rsidR="003E11BC" w:rsidRPr="001724A0">
        <w:rPr>
          <w:lang w:eastAsia="en-GB"/>
        </w:rPr>
        <w:t xml:space="preserve">contractors, </w:t>
      </w:r>
      <w:r w:rsidR="003366E1" w:rsidRPr="001724A0">
        <w:rPr>
          <w:lang w:eastAsia="en-GB"/>
        </w:rPr>
        <w:t xml:space="preserve">employees, </w:t>
      </w:r>
      <w:proofErr w:type="gramStart"/>
      <w:r w:rsidR="003366E1" w:rsidRPr="001724A0">
        <w:rPr>
          <w:lang w:eastAsia="en-GB"/>
        </w:rPr>
        <w:t>members</w:t>
      </w:r>
      <w:proofErr w:type="gramEnd"/>
      <w:r w:rsidR="003366E1" w:rsidRPr="001724A0">
        <w:rPr>
          <w:lang w:eastAsia="en-GB"/>
        </w:rPr>
        <w:t xml:space="preserve"> and </w:t>
      </w:r>
      <w:r>
        <w:rPr>
          <w:lang w:eastAsia="en-GB"/>
        </w:rPr>
        <w:tab/>
      </w:r>
      <w:r w:rsidR="003366E1" w:rsidRPr="001724A0">
        <w:rPr>
          <w:lang w:eastAsia="en-GB"/>
        </w:rPr>
        <w:t xml:space="preserve">volunteers </w:t>
      </w:r>
      <w:r w:rsidR="003E11BC" w:rsidRPr="001724A0">
        <w:t xml:space="preserve">dealing with the receipt of funds or having contact with the public </w:t>
      </w:r>
      <w:r>
        <w:tab/>
      </w:r>
      <w:r w:rsidR="00AD1983" w:rsidRPr="001724A0">
        <w:t>are</w:t>
      </w:r>
      <w:r w:rsidR="003E11BC" w:rsidRPr="001724A0">
        <w:t xml:space="preserve"> aware of this policy</w:t>
      </w:r>
      <w:r w:rsidR="009E58F4" w:rsidRPr="001724A0">
        <w:t xml:space="preserve"> and given appropriate support and training to fulfil the </w:t>
      </w:r>
      <w:r>
        <w:tab/>
      </w:r>
      <w:r w:rsidR="009E58F4" w:rsidRPr="001724A0">
        <w:t xml:space="preserve">requirements of this policy. </w:t>
      </w:r>
    </w:p>
    <w:p w14:paraId="4E4F052B" w14:textId="77777777" w:rsidR="003366E1" w:rsidRPr="001724A0" w:rsidRDefault="003366E1" w:rsidP="003366E1">
      <w:pPr>
        <w:rPr>
          <w:lang w:eastAsia="en-GB"/>
        </w:rPr>
      </w:pPr>
    </w:p>
    <w:p w14:paraId="4E4F052C" w14:textId="77777777" w:rsidR="003366E1" w:rsidRPr="0000051B" w:rsidRDefault="008945BB" w:rsidP="008945BB">
      <w:pPr>
        <w:rPr>
          <w:lang w:eastAsia="en-GB"/>
        </w:rPr>
      </w:pPr>
      <w:r w:rsidRPr="008945BB">
        <w:rPr>
          <w:lang w:eastAsia="en-GB"/>
        </w:rPr>
        <w:t>7.11</w:t>
      </w:r>
      <w:r w:rsidRPr="008945BB">
        <w:rPr>
          <w:b/>
          <w:lang w:eastAsia="en-GB"/>
        </w:rPr>
        <w:tab/>
      </w:r>
      <w:r w:rsidR="004A4514" w:rsidRPr="008945BB">
        <w:rPr>
          <w:b/>
          <w:lang w:eastAsia="en-GB"/>
        </w:rPr>
        <w:t>Audit &amp; Governance Committee</w:t>
      </w:r>
    </w:p>
    <w:p w14:paraId="4E4F052D" w14:textId="77777777" w:rsidR="00686629" w:rsidRPr="001724A0" w:rsidRDefault="004A4514" w:rsidP="005D1363">
      <w:pPr>
        <w:rPr>
          <w:lang w:eastAsia="en-GB"/>
        </w:rPr>
      </w:pPr>
      <w:r w:rsidRPr="0000051B">
        <w:rPr>
          <w:lang w:eastAsia="en-GB"/>
        </w:rPr>
        <w:tab/>
        <w:t>To acknowledge and approv</w:t>
      </w:r>
      <w:r w:rsidR="005221C9">
        <w:rPr>
          <w:lang w:eastAsia="en-GB"/>
        </w:rPr>
        <w:t>e the policy as fit for purpose.</w:t>
      </w:r>
    </w:p>
    <w:p w14:paraId="4E4F052E" w14:textId="77777777" w:rsidR="00985ADD" w:rsidRPr="001724A0" w:rsidRDefault="008945BB" w:rsidP="008945BB">
      <w:pPr>
        <w:pStyle w:val="Heading1"/>
        <w:ind w:left="142"/>
        <w:rPr>
          <w:rFonts w:cs="Arial"/>
          <w:color w:val="auto"/>
        </w:rPr>
      </w:pPr>
      <w:bookmarkStart w:id="17" w:name="_Toc532466650"/>
      <w:r>
        <w:rPr>
          <w:rFonts w:cs="Arial"/>
          <w:color w:val="auto"/>
        </w:rPr>
        <w:t>8</w:t>
      </w:r>
      <w:r>
        <w:rPr>
          <w:rFonts w:cs="Arial"/>
          <w:color w:val="auto"/>
        </w:rPr>
        <w:tab/>
      </w:r>
      <w:r w:rsidR="00985ADD" w:rsidRPr="001724A0">
        <w:rPr>
          <w:rFonts w:cs="Arial"/>
          <w:color w:val="auto"/>
        </w:rPr>
        <w:t>Monitoring &amp; Review</w:t>
      </w:r>
      <w:bookmarkEnd w:id="16"/>
      <w:bookmarkEnd w:id="17"/>
      <w:r w:rsidR="00985ADD" w:rsidRPr="001724A0">
        <w:rPr>
          <w:rFonts w:cs="Arial"/>
          <w:color w:val="auto"/>
        </w:rPr>
        <w:t xml:space="preserve">  </w:t>
      </w:r>
    </w:p>
    <w:p w14:paraId="4E4F052F" w14:textId="77777777" w:rsidR="002E708C" w:rsidRPr="001724A0" w:rsidRDefault="00751859" w:rsidP="00687040">
      <w:pPr>
        <w:tabs>
          <w:tab w:val="left" w:pos="960"/>
        </w:tabs>
        <w:ind w:left="709" w:hanging="709"/>
        <w:rPr>
          <w:rFonts w:cs="Arial"/>
        </w:rPr>
      </w:pPr>
      <w:r w:rsidRPr="001724A0">
        <w:rPr>
          <w:rFonts w:cs="Arial"/>
        </w:rPr>
        <w:tab/>
      </w:r>
    </w:p>
    <w:p w14:paraId="4E4F0530" w14:textId="77777777" w:rsidR="009E79B4" w:rsidRPr="001724A0" w:rsidRDefault="009E79B4" w:rsidP="00E81515">
      <w:pPr>
        <w:pStyle w:val="ListParagraph"/>
        <w:numPr>
          <w:ilvl w:val="0"/>
          <w:numId w:val="8"/>
        </w:numPr>
        <w:rPr>
          <w:rFonts w:cs="Arial"/>
          <w:vanish/>
        </w:rPr>
      </w:pPr>
    </w:p>
    <w:p w14:paraId="4E4F0531" w14:textId="77777777" w:rsidR="009E79B4" w:rsidRPr="001724A0" w:rsidRDefault="009E79B4" w:rsidP="00E81515">
      <w:pPr>
        <w:pStyle w:val="ListParagraph"/>
        <w:numPr>
          <w:ilvl w:val="0"/>
          <w:numId w:val="8"/>
        </w:numPr>
        <w:rPr>
          <w:rFonts w:cs="Arial"/>
          <w:vanish/>
        </w:rPr>
      </w:pPr>
    </w:p>
    <w:p w14:paraId="4E4F0532" w14:textId="77777777" w:rsidR="009E79B4" w:rsidRPr="001724A0" w:rsidRDefault="009E79B4" w:rsidP="00E81515">
      <w:pPr>
        <w:pStyle w:val="ListParagraph"/>
        <w:numPr>
          <w:ilvl w:val="0"/>
          <w:numId w:val="8"/>
        </w:numPr>
        <w:rPr>
          <w:rFonts w:cs="Arial"/>
          <w:vanish/>
        </w:rPr>
      </w:pPr>
    </w:p>
    <w:p w14:paraId="4E4F0533" w14:textId="77777777" w:rsidR="009E79B4" w:rsidRPr="001724A0" w:rsidRDefault="009E79B4" w:rsidP="00E81515">
      <w:pPr>
        <w:pStyle w:val="ListParagraph"/>
        <w:numPr>
          <w:ilvl w:val="0"/>
          <w:numId w:val="8"/>
        </w:numPr>
        <w:rPr>
          <w:rFonts w:cs="Arial"/>
          <w:vanish/>
        </w:rPr>
      </w:pPr>
    </w:p>
    <w:p w14:paraId="4E4F0534" w14:textId="77777777" w:rsidR="009E79B4" w:rsidRPr="001724A0" w:rsidRDefault="009E79B4" w:rsidP="00E81515">
      <w:pPr>
        <w:pStyle w:val="ListParagraph"/>
        <w:numPr>
          <w:ilvl w:val="0"/>
          <w:numId w:val="8"/>
        </w:numPr>
        <w:rPr>
          <w:rFonts w:cs="Arial"/>
          <w:vanish/>
        </w:rPr>
      </w:pPr>
    </w:p>
    <w:p w14:paraId="4E4F0535" w14:textId="77777777" w:rsidR="009E79B4" w:rsidRPr="001724A0" w:rsidRDefault="009E79B4" w:rsidP="00E81515">
      <w:pPr>
        <w:pStyle w:val="ListParagraph"/>
        <w:numPr>
          <w:ilvl w:val="0"/>
          <w:numId w:val="8"/>
        </w:numPr>
        <w:rPr>
          <w:rFonts w:cs="Arial"/>
          <w:vanish/>
        </w:rPr>
      </w:pPr>
    </w:p>
    <w:p w14:paraId="4E4F0536" w14:textId="77777777" w:rsidR="009E79B4" w:rsidRPr="001724A0" w:rsidRDefault="009E79B4" w:rsidP="00E81515">
      <w:pPr>
        <w:pStyle w:val="ListParagraph"/>
        <w:numPr>
          <w:ilvl w:val="0"/>
          <w:numId w:val="8"/>
        </w:numPr>
        <w:rPr>
          <w:rFonts w:cs="Arial"/>
          <w:vanish/>
        </w:rPr>
      </w:pPr>
    </w:p>
    <w:p w14:paraId="4E4F0537" w14:textId="77777777" w:rsidR="009E79B4" w:rsidRPr="001724A0" w:rsidRDefault="009E79B4" w:rsidP="00E81515">
      <w:pPr>
        <w:pStyle w:val="ListParagraph"/>
        <w:numPr>
          <w:ilvl w:val="0"/>
          <w:numId w:val="8"/>
        </w:numPr>
        <w:rPr>
          <w:rFonts w:cs="Arial"/>
          <w:vanish/>
        </w:rPr>
      </w:pPr>
    </w:p>
    <w:p w14:paraId="4E4F0538" w14:textId="77777777" w:rsidR="009E79B4" w:rsidRPr="001724A0" w:rsidRDefault="009E79B4" w:rsidP="00E81515">
      <w:pPr>
        <w:pStyle w:val="ListParagraph"/>
        <w:numPr>
          <w:ilvl w:val="0"/>
          <w:numId w:val="8"/>
        </w:numPr>
        <w:rPr>
          <w:rFonts w:cs="Arial"/>
          <w:vanish/>
        </w:rPr>
      </w:pPr>
    </w:p>
    <w:p w14:paraId="4E4F0539" w14:textId="39B52DBB" w:rsidR="00631690" w:rsidRPr="001724A0" w:rsidRDefault="00631690" w:rsidP="00E81515">
      <w:pPr>
        <w:pStyle w:val="ListParagraph"/>
        <w:numPr>
          <w:ilvl w:val="1"/>
          <w:numId w:val="8"/>
        </w:numPr>
        <w:ind w:left="709" w:hanging="709"/>
        <w:rPr>
          <w:rFonts w:cs="Arial"/>
        </w:rPr>
      </w:pPr>
      <w:r w:rsidRPr="001724A0">
        <w:rPr>
          <w:rFonts w:cs="Arial"/>
        </w:rPr>
        <w:t xml:space="preserve">The risk to </w:t>
      </w:r>
      <w:r w:rsidR="00EA36EA" w:rsidRPr="001724A0">
        <w:rPr>
          <w:rFonts w:cs="Arial"/>
        </w:rPr>
        <w:t xml:space="preserve">the council </w:t>
      </w:r>
      <w:r w:rsidRPr="001724A0">
        <w:rPr>
          <w:rFonts w:cs="Arial"/>
        </w:rPr>
        <w:t xml:space="preserve">of contravening the anti-money laundering legislation will be assessed on a periodic basis, as required by legislative </w:t>
      </w:r>
      <w:proofErr w:type="gramStart"/>
      <w:r w:rsidRPr="001724A0">
        <w:rPr>
          <w:rFonts w:cs="Arial"/>
        </w:rPr>
        <w:t>updates</w:t>
      </w:r>
      <w:proofErr w:type="gramEnd"/>
      <w:r w:rsidR="00A56432">
        <w:rPr>
          <w:rFonts w:cs="Arial"/>
        </w:rPr>
        <w:t xml:space="preserve"> or triggered by significant emerging financial risks, including development</w:t>
      </w:r>
      <w:r w:rsidR="006B4EB8">
        <w:rPr>
          <w:rFonts w:cs="Arial"/>
        </w:rPr>
        <w:t xml:space="preserve">s in digital </w:t>
      </w:r>
      <w:r w:rsidR="002C0A4E">
        <w:rPr>
          <w:rFonts w:cs="Arial"/>
        </w:rPr>
        <w:t>currencies</w:t>
      </w:r>
      <w:r w:rsidR="006B4EB8">
        <w:rPr>
          <w:rFonts w:cs="Arial"/>
        </w:rPr>
        <w:t xml:space="preserve"> and new technologies.</w:t>
      </w:r>
    </w:p>
    <w:p w14:paraId="4E4F053A" w14:textId="77777777" w:rsidR="00631690" w:rsidRPr="001724A0" w:rsidRDefault="00631690" w:rsidP="00631690">
      <w:pPr>
        <w:pStyle w:val="ListParagraph"/>
        <w:ind w:left="709"/>
        <w:rPr>
          <w:rFonts w:cs="Arial"/>
        </w:rPr>
      </w:pPr>
    </w:p>
    <w:p w14:paraId="4E4F053B" w14:textId="77777777" w:rsidR="00631690" w:rsidRPr="001724A0" w:rsidRDefault="00631690" w:rsidP="00E81515">
      <w:pPr>
        <w:pStyle w:val="ListParagraph"/>
        <w:numPr>
          <w:ilvl w:val="1"/>
          <w:numId w:val="8"/>
        </w:numPr>
        <w:ind w:left="709" w:hanging="709"/>
        <w:rPr>
          <w:rFonts w:cs="Arial"/>
        </w:rPr>
      </w:pPr>
      <w:r w:rsidRPr="001724A0">
        <w:rPr>
          <w:rFonts w:cs="Arial"/>
        </w:rPr>
        <w:t xml:space="preserve">The adequacy and effectiveness of the Anti-Money Laundering Policy will be reviewed </w:t>
      </w:r>
      <w:proofErr w:type="gramStart"/>
      <w:r w:rsidRPr="001724A0">
        <w:rPr>
          <w:rFonts w:cs="Arial"/>
        </w:rPr>
        <w:t>in light of</w:t>
      </w:r>
      <w:proofErr w:type="gramEnd"/>
      <w:r w:rsidRPr="001724A0">
        <w:rPr>
          <w:rFonts w:cs="Arial"/>
        </w:rPr>
        <w:t xml:space="preserve"> such assessments.</w:t>
      </w:r>
    </w:p>
    <w:p w14:paraId="4E4F053C" w14:textId="77777777" w:rsidR="00631690" w:rsidRPr="001724A0" w:rsidRDefault="00631690" w:rsidP="00631690">
      <w:pPr>
        <w:pStyle w:val="ListParagraph"/>
        <w:ind w:left="709"/>
        <w:rPr>
          <w:rFonts w:cs="Arial"/>
        </w:rPr>
      </w:pPr>
    </w:p>
    <w:p w14:paraId="4E4F053D" w14:textId="77777777" w:rsidR="00985ADD" w:rsidRPr="0000051B" w:rsidRDefault="002E708C" w:rsidP="00E81515">
      <w:pPr>
        <w:pStyle w:val="ListParagraph"/>
        <w:numPr>
          <w:ilvl w:val="1"/>
          <w:numId w:val="8"/>
        </w:numPr>
        <w:ind w:left="709" w:hanging="709"/>
        <w:rPr>
          <w:rFonts w:cs="Arial"/>
        </w:rPr>
      </w:pPr>
      <w:r w:rsidRPr="0000051B">
        <w:rPr>
          <w:rFonts w:cs="Arial"/>
        </w:rPr>
        <w:t xml:space="preserve">This policy will be reviewed </w:t>
      </w:r>
      <w:r w:rsidR="004A4514" w:rsidRPr="0000051B">
        <w:rPr>
          <w:rFonts w:cs="Arial"/>
        </w:rPr>
        <w:t>every 2</w:t>
      </w:r>
      <w:r w:rsidR="00631690" w:rsidRPr="0000051B">
        <w:rPr>
          <w:rFonts w:cs="Arial"/>
        </w:rPr>
        <w:t xml:space="preserve"> years</w:t>
      </w:r>
      <w:r w:rsidR="004A4514" w:rsidRPr="0000051B">
        <w:rPr>
          <w:rFonts w:cs="Arial"/>
        </w:rPr>
        <w:t xml:space="preserve">, with </w:t>
      </w:r>
      <w:r w:rsidR="0000051B">
        <w:rPr>
          <w:rFonts w:cs="Arial"/>
        </w:rPr>
        <w:t xml:space="preserve">significant </w:t>
      </w:r>
      <w:r w:rsidR="004A4514" w:rsidRPr="0000051B">
        <w:rPr>
          <w:rFonts w:cs="Arial"/>
        </w:rPr>
        <w:t xml:space="preserve">revisions subject to the </w:t>
      </w:r>
      <w:r w:rsidR="002623CD" w:rsidRPr="0000051B">
        <w:rPr>
          <w:rFonts w:cs="Arial"/>
        </w:rPr>
        <w:t>C</w:t>
      </w:r>
      <w:r w:rsidRPr="0000051B">
        <w:rPr>
          <w:rFonts w:cs="Arial"/>
        </w:rPr>
        <w:t xml:space="preserve">ouncil’s </w:t>
      </w:r>
      <w:r w:rsidR="004A4514" w:rsidRPr="0000051B">
        <w:rPr>
          <w:rFonts w:cs="Arial"/>
        </w:rPr>
        <w:t>Audit &amp; Governance</w:t>
      </w:r>
      <w:r w:rsidRPr="0000051B">
        <w:rPr>
          <w:rFonts w:cs="Arial"/>
        </w:rPr>
        <w:t xml:space="preserve"> </w:t>
      </w:r>
      <w:r w:rsidR="00D277D1" w:rsidRPr="0000051B">
        <w:rPr>
          <w:rFonts w:cs="Arial"/>
        </w:rPr>
        <w:t xml:space="preserve">Committee </w:t>
      </w:r>
      <w:r w:rsidRPr="0000051B">
        <w:rPr>
          <w:rFonts w:cs="Arial"/>
        </w:rPr>
        <w:t xml:space="preserve">clearance process.  </w:t>
      </w:r>
    </w:p>
    <w:p w14:paraId="4E4F053E" w14:textId="77777777" w:rsidR="0097673A" w:rsidRPr="0000051B" w:rsidRDefault="0097673A" w:rsidP="00687040">
      <w:pPr>
        <w:ind w:left="709" w:hanging="709"/>
        <w:rPr>
          <w:rFonts w:cs="Arial"/>
        </w:rPr>
      </w:pPr>
    </w:p>
    <w:p w14:paraId="4E4F053F" w14:textId="77777777" w:rsidR="00BA109E" w:rsidRPr="0000051B" w:rsidRDefault="00B34213" w:rsidP="00E81515">
      <w:pPr>
        <w:pStyle w:val="ListParagraph"/>
        <w:numPr>
          <w:ilvl w:val="1"/>
          <w:numId w:val="8"/>
        </w:numPr>
        <w:ind w:left="709" w:hanging="709"/>
        <w:rPr>
          <w:rFonts w:cs="Arial"/>
        </w:rPr>
      </w:pPr>
      <w:r w:rsidRPr="0000051B">
        <w:rPr>
          <w:rFonts w:cs="Arial"/>
        </w:rPr>
        <w:t xml:space="preserve">A periodic review of compliance will be undertaken as part of the provision of the Internal Audit function, as determined by a strategic risk assessment, and appropriate work plan response. </w:t>
      </w:r>
    </w:p>
    <w:p w14:paraId="4E4F0540" w14:textId="77777777" w:rsidR="00631690" w:rsidRPr="001724A0" w:rsidRDefault="00631690" w:rsidP="00BA109E">
      <w:pPr>
        <w:rPr>
          <w:rFonts w:cs="Arial"/>
        </w:rPr>
      </w:pPr>
      <w:r w:rsidRPr="001724A0">
        <w:rPr>
          <w:rFonts w:cs="Arial"/>
        </w:rPr>
        <w:br/>
      </w:r>
    </w:p>
    <w:p w14:paraId="4E4F0541" w14:textId="77777777" w:rsidR="00FE0ED8" w:rsidRPr="001724A0" w:rsidRDefault="00FE0ED8" w:rsidP="00687040">
      <w:pPr>
        <w:ind w:left="709" w:hanging="709"/>
        <w:rPr>
          <w:rFonts w:cs="Arial"/>
        </w:rPr>
      </w:pPr>
    </w:p>
    <w:p w14:paraId="4E4F0542" w14:textId="77777777" w:rsidR="00EC337D" w:rsidRPr="001724A0" w:rsidRDefault="00EC337D">
      <w:pPr>
        <w:rPr>
          <w:rFonts w:cs="Arial"/>
          <w:b/>
        </w:rPr>
      </w:pPr>
      <w:r w:rsidRPr="001724A0">
        <w:rPr>
          <w:rFonts w:cs="Arial"/>
          <w:b/>
        </w:rPr>
        <w:br w:type="page"/>
      </w:r>
    </w:p>
    <w:p w14:paraId="4E4F0543" w14:textId="77777777" w:rsidR="009A5F75" w:rsidRPr="00824D2F" w:rsidRDefault="00D63ED6" w:rsidP="00EC337D">
      <w:pPr>
        <w:pStyle w:val="Heading1"/>
        <w:ind w:left="709" w:hanging="709"/>
        <w:jc w:val="center"/>
        <w:rPr>
          <w:rFonts w:cs="Arial"/>
          <w:color w:val="auto"/>
          <w:sz w:val="24"/>
          <w:szCs w:val="24"/>
        </w:rPr>
      </w:pPr>
      <w:bookmarkStart w:id="18" w:name="_Toc510540530"/>
      <w:bookmarkStart w:id="19" w:name="_Toc532466651"/>
      <w:r w:rsidRPr="00824D2F">
        <w:rPr>
          <w:rFonts w:cs="Arial"/>
          <w:color w:val="auto"/>
          <w:sz w:val="24"/>
          <w:szCs w:val="24"/>
        </w:rPr>
        <w:lastRenderedPageBreak/>
        <w:t xml:space="preserve">Section </w:t>
      </w:r>
      <w:r w:rsidR="00D346E8" w:rsidRPr="00824D2F">
        <w:rPr>
          <w:rFonts w:cs="Arial"/>
          <w:color w:val="auto"/>
          <w:sz w:val="24"/>
          <w:szCs w:val="24"/>
        </w:rPr>
        <w:t>B</w:t>
      </w:r>
      <w:bookmarkStart w:id="20" w:name="_Toc345328178"/>
      <w:bookmarkEnd w:id="18"/>
      <w:r w:rsidR="00CD173F" w:rsidRPr="00824D2F">
        <w:rPr>
          <w:rFonts w:cs="Arial"/>
          <w:color w:val="auto"/>
          <w:sz w:val="24"/>
          <w:szCs w:val="24"/>
        </w:rPr>
        <w:t xml:space="preserve"> </w:t>
      </w:r>
      <w:r w:rsidR="004F10E6" w:rsidRPr="00824D2F">
        <w:rPr>
          <w:rFonts w:cs="Arial"/>
          <w:color w:val="auto"/>
          <w:sz w:val="24"/>
          <w:szCs w:val="24"/>
        </w:rPr>
        <w:t>–</w:t>
      </w:r>
      <w:r w:rsidR="005E6BCB" w:rsidRPr="00824D2F">
        <w:rPr>
          <w:rFonts w:cs="Arial"/>
          <w:color w:val="auto"/>
          <w:sz w:val="24"/>
          <w:szCs w:val="24"/>
        </w:rPr>
        <w:t>D</w:t>
      </w:r>
      <w:r w:rsidR="007031BB" w:rsidRPr="00824D2F">
        <w:rPr>
          <w:rFonts w:cs="Arial"/>
          <w:color w:val="auto"/>
          <w:sz w:val="24"/>
          <w:szCs w:val="24"/>
        </w:rPr>
        <w:t>efinitions</w:t>
      </w:r>
      <w:bookmarkEnd w:id="19"/>
      <w:r w:rsidR="00687040" w:rsidRPr="00824D2F">
        <w:rPr>
          <w:rFonts w:cs="Arial"/>
          <w:color w:val="auto"/>
          <w:sz w:val="24"/>
          <w:szCs w:val="24"/>
        </w:rPr>
        <w:tab/>
      </w:r>
      <w:r w:rsidR="00687040" w:rsidRPr="00824D2F">
        <w:rPr>
          <w:rFonts w:cs="Arial"/>
          <w:color w:val="auto"/>
          <w:sz w:val="24"/>
          <w:szCs w:val="24"/>
        </w:rPr>
        <w:tab/>
      </w:r>
      <w:r w:rsidR="00687040" w:rsidRPr="00824D2F">
        <w:rPr>
          <w:rFonts w:cs="Arial"/>
          <w:color w:val="auto"/>
          <w:sz w:val="24"/>
          <w:szCs w:val="24"/>
        </w:rPr>
        <w:tab/>
      </w:r>
      <w:r w:rsidR="009A5F75" w:rsidRPr="00824D2F">
        <w:rPr>
          <w:rFonts w:cs="Arial"/>
          <w:color w:val="auto"/>
          <w:sz w:val="24"/>
          <w:szCs w:val="24"/>
        </w:rPr>
        <w:t xml:space="preserve"> </w:t>
      </w:r>
    </w:p>
    <w:p w14:paraId="4E4F0544" w14:textId="77777777" w:rsidR="00ED1458" w:rsidRPr="00824D2F" w:rsidRDefault="008212C1" w:rsidP="008212C1">
      <w:pPr>
        <w:pStyle w:val="Heading1"/>
        <w:rPr>
          <w:rFonts w:cs="Arial"/>
          <w:color w:val="auto"/>
          <w:sz w:val="24"/>
          <w:szCs w:val="24"/>
        </w:rPr>
      </w:pPr>
      <w:bookmarkStart w:id="21" w:name="_Toc510540531"/>
      <w:bookmarkStart w:id="22" w:name="_Toc512337952"/>
      <w:r>
        <w:rPr>
          <w:rFonts w:cs="Arial"/>
          <w:color w:val="auto"/>
          <w:sz w:val="24"/>
          <w:szCs w:val="24"/>
        </w:rPr>
        <w:t>9</w:t>
      </w:r>
      <w:r w:rsidR="000F44EA" w:rsidRPr="00824D2F">
        <w:rPr>
          <w:rFonts w:cs="Arial"/>
          <w:color w:val="auto"/>
          <w:sz w:val="24"/>
          <w:szCs w:val="24"/>
        </w:rPr>
        <w:tab/>
      </w:r>
      <w:bookmarkStart w:id="23" w:name="_Toc532466652"/>
      <w:bookmarkEnd w:id="21"/>
      <w:bookmarkEnd w:id="22"/>
      <w:r w:rsidR="00BA109E" w:rsidRPr="00824D2F">
        <w:rPr>
          <w:rFonts w:cs="Arial"/>
          <w:color w:val="auto"/>
          <w:sz w:val="24"/>
          <w:szCs w:val="24"/>
        </w:rPr>
        <w:t>Anti-Money Laundering definition</w:t>
      </w:r>
      <w:bookmarkEnd w:id="23"/>
    </w:p>
    <w:p w14:paraId="4E4F0545" w14:textId="77777777" w:rsidR="000F1F62" w:rsidRPr="001724A0" w:rsidRDefault="000F1F62" w:rsidP="00687040">
      <w:pPr>
        <w:ind w:left="709" w:hanging="709"/>
        <w:rPr>
          <w:rFonts w:cs="Arial"/>
        </w:rPr>
      </w:pPr>
    </w:p>
    <w:p w14:paraId="4E4F0546" w14:textId="76A83BC4" w:rsidR="00502F49" w:rsidRPr="001724A0" w:rsidRDefault="003F4D27" w:rsidP="00E81515">
      <w:pPr>
        <w:pStyle w:val="ListParagraph"/>
        <w:numPr>
          <w:ilvl w:val="1"/>
          <w:numId w:val="9"/>
        </w:numPr>
        <w:ind w:left="709" w:hanging="709"/>
        <w:rPr>
          <w:rFonts w:cs="Arial"/>
        </w:rPr>
      </w:pPr>
      <w:r>
        <w:t>Money laundering describes the process of concealing, disguising, converting, transferring, or integrating the proceeds of crime, terrorist funds, or illicit assets into the legitimate economy. Under the Proceeds of Crime Act 2002 and associated legislation, the following activities are considered prohibited acts:</w:t>
      </w:r>
    </w:p>
    <w:p w14:paraId="4E4F0547" w14:textId="77777777" w:rsidR="00502F49" w:rsidRPr="001724A0" w:rsidRDefault="00BA109E" w:rsidP="00502F49">
      <w:pPr>
        <w:pStyle w:val="ListParagraph"/>
        <w:ind w:left="709"/>
        <w:rPr>
          <w:rFonts w:cs="Arial"/>
        </w:rPr>
      </w:pPr>
      <w:r w:rsidRPr="001724A0">
        <w:rPr>
          <w:rFonts w:cs="Arial"/>
        </w:rPr>
        <w:t xml:space="preserve"> </w:t>
      </w:r>
    </w:p>
    <w:p w14:paraId="4E4F0548" w14:textId="21FCBDA8" w:rsidR="00BA109E" w:rsidRPr="001724A0" w:rsidRDefault="00BA109E" w:rsidP="00E81515">
      <w:pPr>
        <w:pStyle w:val="ListParagraph"/>
        <w:numPr>
          <w:ilvl w:val="1"/>
          <w:numId w:val="9"/>
        </w:numPr>
        <w:ind w:left="709" w:hanging="709"/>
        <w:rPr>
          <w:rFonts w:cs="Arial"/>
        </w:rPr>
      </w:pPr>
    </w:p>
    <w:p w14:paraId="4E4F0549" w14:textId="77777777" w:rsidR="00966CAD" w:rsidRPr="001724A0" w:rsidRDefault="00966CAD" w:rsidP="00E81515">
      <w:pPr>
        <w:pStyle w:val="ListParagraph"/>
        <w:numPr>
          <w:ilvl w:val="1"/>
          <w:numId w:val="13"/>
        </w:numPr>
        <w:rPr>
          <w:rFonts w:cs="Arial"/>
        </w:rPr>
      </w:pPr>
      <w:r w:rsidRPr="001724A0">
        <w:rPr>
          <w:rFonts w:cs="Arial"/>
        </w:rPr>
        <w:t xml:space="preserve">Concealing, disguising, converting, transferring or removing criminal property from the </w:t>
      </w:r>
      <w:proofErr w:type="gramStart"/>
      <w:r w:rsidRPr="001724A0">
        <w:rPr>
          <w:rFonts w:cs="Arial"/>
        </w:rPr>
        <w:t>UK</w:t>
      </w:r>
      <w:proofErr w:type="gramEnd"/>
    </w:p>
    <w:p w14:paraId="4E4F054A" w14:textId="77777777" w:rsidR="00966CAD" w:rsidRPr="001724A0" w:rsidRDefault="00966CAD" w:rsidP="00E81515">
      <w:pPr>
        <w:pStyle w:val="ListParagraph"/>
        <w:numPr>
          <w:ilvl w:val="1"/>
          <w:numId w:val="13"/>
        </w:numPr>
        <w:rPr>
          <w:rFonts w:cs="Arial"/>
        </w:rPr>
      </w:pPr>
      <w:r w:rsidRPr="001724A0">
        <w:rPr>
          <w:rFonts w:cs="Arial"/>
        </w:rPr>
        <w:t xml:space="preserve">Becoming involved in an arrangement which an individual </w:t>
      </w:r>
      <w:proofErr w:type="gramStart"/>
      <w:r w:rsidRPr="001724A0">
        <w:rPr>
          <w:rFonts w:cs="Arial"/>
        </w:rPr>
        <w:t>knows</w:t>
      </w:r>
      <w:proofErr w:type="gramEnd"/>
      <w:r w:rsidRPr="001724A0">
        <w:rPr>
          <w:rFonts w:cs="Arial"/>
        </w:rPr>
        <w:t xml:space="preserve"> or suspects facilitates the acquisition, retention, use or control of criminal property by or on behalf of another person</w:t>
      </w:r>
    </w:p>
    <w:p w14:paraId="4E4F054B" w14:textId="571C842B" w:rsidR="00966CAD" w:rsidRPr="001724A0" w:rsidRDefault="00966CAD" w:rsidP="00E81515">
      <w:pPr>
        <w:pStyle w:val="ListParagraph"/>
        <w:numPr>
          <w:ilvl w:val="1"/>
          <w:numId w:val="13"/>
        </w:numPr>
        <w:rPr>
          <w:rFonts w:cs="Arial"/>
        </w:rPr>
      </w:pPr>
      <w:r w:rsidRPr="001724A0">
        <w:rPr>
          <w:rFonts w:cs="Arial"/>
        </w:rPr>
        <w:t xml:space="preserve">Acquiring, </w:t>
      </w:r>
      <w:proofErr w:type="gramStart"/>
      <w:r w:rsidRPr="001724A0">
        <w:rPr>
          <w:rFonts w:cs="Arial"/>
        </w:rPr>
        <w:t>using</w:t>
      </w:r>
      <w:proofErr w:type="gramEnd"/>
      <w:r w:rsidRPr="001724A0">
        <w:rPr>
          <w:rFonts w:cs="Arial"/>
        </w:rPr>
        <w:t xml:space="preserve"> or possessing criminal property</w:t>
      </w:r>
      <w:r w:rsidR="00251EE4">
        <w:rPr>
          <w:rFonts w:cs="Arial"/>
        </w:rPr>
        <w:t xml:space="preserve"> k</w:t>
      </w:r>
      <w:r w:rsidR="00B06B31">
        <w:rPr>
          <w:rFonts w:cs="Arial"/>
        </w:rPr>
        <w:t>nowingly or while suspecting i</w:t>
      </w:r>
      <w:r w:rsidR="00E34459">
        <w:rPr>
          <w:rFonts w:cs="Arial"/>
        </w:rPr>
        <w:t>ts illicit origins</w:t>
      </w:r>
    </w:p>
    <w:p w14:paraId="4E4F054C" w14:textId="77777777" w:rsidR="00966CAD" w:rsidRPr="001724A0" w:rsidRDefault="00966CAD" w:rsidP="00E81515">
      <w:pPr>
        <w:pStyle w:val="ListParagraph"/>
        <w:numPr>
          <w:ilvl w:val="1"/>
          <w:numId w:val="13"/>
        </w:numPr>
        <w:rPr>
          <w:rFonts w:cs="Arial"/>
        </w:rPr>
      </w:pPr>
      <w:r w:rsidRPr="001724A0">
        <w:rPr>
          <w:rFonts w:cs="Arial"/>
        </w:rPr>
        <w:t xml:space="preserve">Doing something that might prejudice an investigation e.g. falsifying a </w:t>
      </w:r>
      <w:proofErr w:type="gramStart"/>
      <w:r w:rsidRPr="001724A0">
        <w:rPr>
          <w:rFonts w:cs="Arial"/>
        </w:rPr>
        <w:t>document</w:t>
      </w:r>
      <w:proofErr w:type="gramEnd"/>
    </w:p>
    <w:p w14:paraId="4E4F054D" w14:textId="77777777" w:rsidR="00966CAD" w:rsidRPr="001724A0" w:rsidRDefault="00966CAD" w:rsidP="00E81515">
      <w:pPr>
        <w:pStyle w:val="ListParagraph"/>
        <w:numPr>
          <w:ilvl w:val="1"/>
          <w:numId w:val="13"/>
        </w:numPr>
        <w:rPr>
          <w:rFonts w:cs="Arial"/>
        </w:rPr>
      </w:pPr>
      <w:r w:rsidRPr="001724A0">
        <w:rPr>
          <w:rFonts w:cs="Arial"/>
        </w:rPr>
        <w:t xml:space="preserve">Failure to disclose one of the offences listed above, where there are reasonable grounds for knowledge or </w:t>
      </w:r>
      <w:proofErr w:type="gramStart"/>
      <w:r w:rsidRPr="001724A0">
        <w:rPr>
          <w:rFonts w:cs="Arial"/>
        </w:rPr>
        <w:t>suspicion</w:t>
      </w:r>
      <w:proofErr w:type="gramEnd"/>
    </w:p>
    <w:p w14:paraId="4E4F054E" w14:textId="77777777" w:rsidR="00966CAD" w:rsidRPr="001724A0" w:rsidRDefault="00966CAD" w:rsidP="00E81515">
      <w:pPr>
        <w:pStyle w:val="ListParagraph"/>
        <w:numPr>
          <w:ilvl w:val="1"/>
          <w:numId w:val="13"/>
        </w:numPr>
        <w:rPr>
          <w:rFonts w:cs="Arial"/>
        </w:rPr>
      </w:pPr>
      <w:r w:rsidRPr="001724A0">
        <w:rPr>
          <w:rFonts w:cs="Arial"/>
        </w:rPr>
        <w:t xml:space="preserve">Tipping off a person(s) who is or is suspected of being involved in money laundering in such a way as to reduce the likelihood of or prejudice an investigation. </w:t>
      </w:r>
    </w:p>
    <w:p w14:paraId="4E4F054F" w14:textId="77777777" w:rsidR="00966CAD" w:rsidRPr="001724A0" w:rsidRDefault="00966CAD" w:rsidP="00966CAD">
      <w:pPr>
        <w:pStyle w:val="ListParagraph"/>
        <w:ind w:left="709"/>
        <w:rPr>
          <w:rFonts w:cs="Arial"/>
        </w:rPr>
      </w:pPr>
    </w:p>
    <w:p w14:paraId="4E4F0550" w14:textId="77777777" w:rsidR="00BA109E" w:rsidRPr="001724A0" w:rsidRDefault="00BA109E" w:rsidP="00E81515">
      <w:pPr>
        <w:pStyle w:val="ListParagraph"/>
        <w:numPr>
          <w:ilvl w:val="1"/>
          <w:numId w:val="9"/>
        </w:numPr>
        <w:ind w:left="709" w:hanging="709"/>
        <w:rPr>
          <w:rFonts w:cs="Arial"/>
        </w:rPr>
      </w:pPr>
      <w:r w:rsidRPr="001724A0">
        <w:rPr>
          <w:rFonts w:cs="Arial"/>
        </w:rPr>
        <w:t xml:space="preserve">The Terrorism Act 2000 made it an offence of money laundering to become concerned in an arrangement relating to the retention or control of property likely to be used for the purposes of </w:t>
      </w:r>
      <w:proofErr w:type="gramStart"/>
      <w:r w:rsidRPr="001724A0">
        <w:rPr>
          <w:rFonts w:cs="Arial"/>
        </w:rPr>
        <w:t>terrorism, or</w:t>
      </w:r>
      <w:proofErr w:type="gramEnd"/>
      <w:r w:rsidRPr="001724A0">
        <w:rPr>
          <w:rFonts w:cs="Arial"/>
        </w:rPr>
        <w:t xml:space="preserve"> resulting from acts of terrorism. </w:t>
      </w:r>
    </w:p>
    <w:p w14:paraId="4E4F0551" w14:textId="77777777" w:rsidR="00966CAD" w:rsidRPr="001724A0" w:rsidRDefault="00966CAD" w:rsidP="00966CAD">
      <w:pPr>
        <w:pStyle w:val="ListParagraph"/>
        <w:ind w:left="709"/>
        <w:rPr>
          <w:rFonts w:cs="Arial"/>
        </w:rPr>
      </w:pPr>
    </w:p>
    <w:p w14:paraId="4E4F0552" w14:textId="77777777" w:rsidR="00966CAD" w:rsidRPr="001724A0" w:rsidRDefault="00BA109E" w:rsidP="00E81515">
      <w:pPr>
        <w:pStyle w:val="ListParagraph"/>
        <w:numPr>
          <w:ilvl w:val="1"/>
          <w:numId w:val="9"/>
        </w:numPr>
        <w:ind w:left="709" w:hanging="709"/>
        <w:rPr>
          <w:rFonts w:cs="Arial"/>
        </w:rPr>
      </w:pPr>
      <w:r w:rsidRPr="001724A0">
        <w:rPr>
          <w:rFonts w:cs="Arial"/>
        </w:rPr>
        <w:t>Although the term ‘money laundering’ is generally used to describe the activities of organised crime, for most people it will involve a suspicion that someone they know, or know of, is benefiting financially from dishonest activities. Potentially very heavy penalties (unlimited fines and imprisonment up to fourteen years) can be handed down to those who are convicted of one of the offences above.</w:t>
      </w:r>
    </w:p>
    <w:p w14:paraId="4E4F0553" w14:textId="77777777" w:rsidR="00966CAD" w:rsidRPr="001724A0" w:rsidRDefault="00966CAD" w:rsidP="00966CAD">
      <w:pPr>
        <w:pStyle w:val="ListParagraph"/>
        <w:ind w:left="709"/>
        <w:rPr>
          <w:rFonts w:cs="Arial"/>
        </w:rPr>
      </w:pPr>
    </w:p>
    <w:p w14:paraId="4E4F0554" w14:textId="77777777" w:rsidR="00BA109E" w:rsidRPr="001724A0" w:rsidRDefault="00BA109E" w:rsidP="00E81515">
      <w:pPr>
        <w:pStyle w:val="ListParagraph"/>
        <w:numPr>
          <w:ilvl w:val="1"/>
          <w:numId w:val="9"/>
        </w:numPr>
        <w:ind w:left="709" w:hanging="709"/>
        <w:rPr>
          <w:rFonts w:cs="Arial"/>
        </w:rPr>
      </w:pPr>
      <w:r w:rsidRPr="001724A0">
        <w:rPr>
          <w:rFonts w:cs="Arial"/>
        </w:rPr>
        <w:t xml:space="preserve">Money laundering is the process of channelling ‘bad’ money into ‘good ‘money </w:t>
      </w:r>
      <w:proofErr w:type="gramStart"/>
      <w:r w:rsidRPr="001724A0">
        <w:rPr>
          <w:rFonts w:cs="Arial"/>
        </w:rPr>
        <w:t>in order to</w:t>
      </w:r>
      <w:proofErr w:type="gramEnd"/>
      <w:r w:rsidRPr="001724A0">
        <w:rPr>
          <w:rFonts w:cs="Arial"/>
        </w:rPr>
        <w:t xml:space="preserve"> hide the fact the money originated from criminal activity. Money laundering often occurs in three steps: first, cash is introduced into the financial system by some means ("placement"), the second involves a financial transaction </w:t>
      </w:r>
      <w:proofErr w:type="gramStart"/>
      <w:r w:rsidRPr="001724A0">
        <w:rPr>
          <w:rFonts w:cs="Arial"/>
        </w:rPr>
        <w:t>in order to</w:t>
      </w:r>
      <w:proofErr w:type="gramEnd"/>
      <w:r w:rsidRPr="001724A0">
        <w:rPr>
          <w:rFonts w:cs="Arial"/>
        </w:rPr>
        <w:t xml:space="preserve"> camouflage the illegal source ("layering"), and the final step entails acquiring wealth generated from the transactions of the illicit funds ("integration"). </w:t>
      </w:r>
    </w:p>
    <w:p w14:paraId="4E4F0555" w14:textId="77777777" w:rsidR="00966CAD" w:rsidRPr="001724A0" w:rsidRDefault="00966CAD" w:rsidP="00966CAD">
      <w:pPr>
        <w:pStyle w:val="ListParagraph"/>
        <w:ind w:left="709"/>
        <w:rPr>
          <w:rFonts w:cs="Arial"/>
        </w:rPr>
      </w:pPr>
    </w:p>
    <w:p w14:paraId="4E4F0556" w14:textId="77777777" w:rsidR="00966CAD" w:rsidRPr="001724A0" w:rsidRDefault="00BA109E" w:rsidP="00E81515">
      <w:pPr>
        <w:pStyle w:val="ListParagraph"/>
        <w:numPr>
          <w:ilvl w:val="1"/>
          <w:numId w:val="9"/>
        </w:numPr>
        <w:ind w:left="709" w:hanging="709"/>
        <w:rPr>
          <w:rFonts w:cs="Arial"/>
        </w:rPr>
      </w:pPr>
      <w:r w:rsidRPr="001724A0">
        <w:rPr>
          <w:rFonts w:cs="Arial"/>
        </w:rPr>
        <w:t>Most money laundering offences concern far greater sums of money since the greater the sum of money obtained from a criminal activity, the more difficult it is to make it appear to have originated from a legitimate source or transaction.</w:t>
      </w:r>
    </w:p>
    <w:p w14:paraId="4E4F0557" w14:textId="77777777" w:rsidR="00966CAD" w:rsidRPr="001724A0" w:rsidRDefault="00966CAD" w:rsidP="00966CAD">
      <w:pPr>
        <w:pStyle w:val="ListParagraph"/>
        <w:ind w:left="709"/>
        <w:rPr>
          <w:rFonts w:cs="Arial"/>
        </w:rPr>
      </w:pPr>
    </w:p>
    <w:p w14:paraId="4E4F0559" w14:textId="0B82C4FD" w:rsidR="00551D65" w:rsidRPr="00641A8B" w:rsidRDefault="00BA109E" w:rsidP="00E81515">
      <w:pPr>
        <w:pStyle w:val="ListParagraph"/>
        <w:numPr>
          <w:ilvl w:val="1"/>
          <w:numId w:val="9"/>
        </w:numPr>
        <w:ind w:left="1418" w:hanging="709"/>
        <w:rPr>
          <w:rStyle w:val="Hyperlink"/>
          <w:color w:val="auto"/>
          <w:u w:val="none"/>
        </w:rPr>
      </w:pPr>
      <w:r w:rsidRPr="00641A8B">
        <w:rPr>
          <w:rFonts w:cs="Arial"/>
        </w:rPr>
        <w:t xml:space="preserve">Whilst the risk to OCC of contravening the legislation is low, it is extremely important that all employees, </w:t>
      </w:r>
      <w:proofErr w:type="gramStart"/>
      <w:r w:rsidRPr="00641A8B">
        <w:rPr>
          <w:rFonts w:cs="Arial"/>
        </w:rPr>
        <w:t>contractors</w:t>
      </w:r>
      <w:proofErr w:type="gramEnd"/>
      <w:r w:rsidRPr="00641A8B">
        <w:rPr>
          <w:rFonts w:cs="Arial"/>
        </w:rPr>
        <w:t xml:space="preserve"> and Members are familiar with their legal responsibilities: serious criminal sanctions may be imposed for breaches of the legislation. A key requirement is for employees and contractors to promptly report any suspected money laundering activity to the MLRO.</w:t>
      </w:r>
    </w:p>
    <w:p w14:paraId="4E4F055A" w14:textId="77777777" w:rsidR="00F44E1A" w:rsidRPr="001724A0" w:rsidRDefault="00F44E1A" w:rsidP="00E81515">
      <w:pPr>
        <w:pStyle w:val="ListParagraph"/>
        <w:keepNext/>
        <w:keepLines/>
        <w:numPr>
          <w:ilvl w:val="0"/>
          <w:numId w:val="3"/>
        </w:numPr>
        <w:spacing w:before="480"/>
        <w:ind w:left="709" w:hanging="709"/>
        <w:contextualSpacing w:val="0"/>
        <w:outlineLvl w:val="0"/>
        <w:rPr>
          <w:rFonts w:eastAsiaTheme="majorEastAsia" w:cs="Arial"/>
          <w:b/>
          <w:bCs/>
          <w:vanish/>
          <w:sz w:val="28"/>
          <w:szCs w:val="28"/>
          <w:lang w:eastAsia="en-GB"/>
        </w:rPr>
      </w:pPr>
      <w:bookmarkStart w:id="24" w:name="_Toc511761248"/>
      <w:bookmarkStart w:id="25" w:name="_Toc511761628"/>
      <w:bookmarkStart w:id="26" w:name="_Toc511761666"/>
      <w:bookmarkStart w:id="27" w:name="_Toc511905329"/>
      <w:bookmarkStart w:id="28" w:name="_Toc512260713"/>
      <w:bookmarkStart w:id="29" w:name="_Toc512331564"/>
      <w:bookmarkStart w:id="30" w:name="_Toc512332389"/>
      <w:bookmarkStart w:id="31" w:name="_Toc512333475"/>
      <w:bookmarkStart w:id="32" w:name="_Toc512337692"/>
      <w:bookmarkStart w:id="33" w:name="_Toc512337953"/>
      <w:bookmarkStart w:id="34" w:name="_Toc532309056"/>
      <w:bookmarkStart w:id="35" w:name="_Toc532463346"/>
      <w:bookmarkStart w:id="36" w:name="_Toc532466478"/>
      <w:bookmarkStart w:id="37" w:name="_Toc532466653"/>
      <w:bookmarkStart w:id="38" w:name="_Toc510540532"/>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4E4F055B" w14:textId="77777777" w:rsidR="00F44E1A" w:rsidRPr="001724A0" w:rsidRDefault="00F44E1A" w:rsidP="00E81515">
      <w:pPr>
        <w:pStyle w:val="ListParagraph"/>
        <w:keepNext/>
        <w:keepLines/>
        <w:numPr>
          <w:ilvl w:val="0"/>
          <w:numId w:val="3"/>
        </w:numPr>
        <w:spacing w:before="480"/>
        <w:ind w:left="709" w:hanging="709"/>
        <w:contextualSpacing w:val="0"/>
        <w:outlineLvl w:val="0"/>
        <w:rPr>
          <w:rFonts w:eastAsiaTheme="majorEastAsia" w:cs="Arial"/>
          <w:b/>
          <w:bCs/>
          <w:vanish/>
          <w:sz w:val="28"/>
          <w:szCs w:val="28"/>
          <w:lang w:eastAsia="en-GB"/>
        </w:rPr>
      </w:pPr>
      <w:bookmarkStart w:id="39" w:name="_Toc511761249"/>
      <w:bookmarkStart w:id="40" w:name="_Toc511761629"/>
      <w:bookmarkStart w:id="41" w:name="_Toc511761667"/>
      <w:bookmarkStart w:id="42" w:name="_Toc511905330"/>
      <w:bookmarkStart w:id="43" w:name="_Toc512260714"/>
      <w:bookmarkStart w:id="44" w:name="_Toc512331565"/>
      <w:bookmarkStart w:id="45" w:name="_Toc512332390"/>
      <w:bookmarkStart w:id="46" w:name="_Toc512333476"/>
      <w:bookmarkStart w:id="47" w:name="_Toc512337693"/>
      <w:bookmarkStart w:id="48" w:name="_Toc512337954"/>
      <w:bookmarkStart w:id="49" w:name="_Toc532309057"/>
      <w:bookmarkStart w:id="50" w:name="_Toc532463347"/>
      <w:bookmarkStart w:id="51" w:name="_Toc532466479"/>
      <w:bookmarkStart w:id="52" w:name="_Toc532466654"/>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4E4F055C" w14:textId="77777777" w:rsidR="00F44E1A" w:rsidRPr="001724A0" w:rsidRDefault="00F44E1A" w:rsidP="00E81515">
      <w:pPr>
        <w:pStyle w:val="ListParagraph"/>
        <w:keepNext/>
        <w:keepLines/>
        <w:numPr>
          <w:ilvl w:val="0"/>
          <w:numId w:val="3"/>
        </w:numPr>
        <w:spacing w:before="480"/>
        <w:ind w:left="709" w:hanging="709"/>
        <w:contextualSpacing w:val="0"/>
        <w:outlineLvl w:val="0"/>
        <w:rPr>
          <w:rFonts w:eastAsiaTheme="majorEastAsia" w:cs="Arial"/>
          <w:b/>
          <w:bCs/>
          <w:vanish/>
          <w:sz w:val="28"/>
          <w:szCs w:val="28"/>
          <w:lang w:eastAsia="en-GB"/>
        </w:rPr>
      </w:pPr>
      <w:bookmarkStart w:id="53" w:name="_Toc511761250"/>
      <w:bookmarkStart w:id="54" w:name="_Toc511761630"/>
      <w:bookmarkStart w:id="55" w:name="_Toc511761668"/>
      <w:bookmarkStart w:id="56" w:name="_Toc511905331"/>
      <w:bookmarkStart w:id="57" w:name="_Toc512260715"/>
      <w:bookmarkStart w:id="58" w:name="_Toc512331566"/>
      <w:bookmarkStart w:id="59" w:name="_Toc512332391"/>
      <w:bookmarkStart w:id="60" w:name="_Toc512333477"/>
      <w:bookmarkStart w:id="61" w:name="_Toc512337694"/>
      <w:bookmarkStart w:id="62" w:name="_Toc512337955"/>
      <w:bookmarkStart w:id="63" w:name="_Toc532309058"/>
      <w:bookmarkStart w:id="64" w:name="_Toc532463348"/>
      <w:bookmarkStart w:id="65" w:name="_Toc532466480"/>
      <w:bookmarkStart w:id="66" w:name="_Toc532466655"/>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4E4F055D" w14:textId="77777777" w:rsidR="00F44E1A" w:rsidRPr="001724A0" w:rsidRDefault="00F44E1A" w:rsidP="00E81515">
      <w:pPr>
        <w:pStyle w:val="ListParagraph"/>
        <w:keepNext/>
        <w:keepLines/>
        <w:numPr>
          <w:ilvl w:val="0"/>
          <w:numId w:val="3"/>
        </w:numPr>
        <w:spacing w:before="480"/>
        <w:ind w:left="709" w:hanging="709"/>
        <w:contextualSpacing w:val="0"/>
        <w:outlineLvl w:val="0"/>
        <w:rPr>
          <w:rFonts w:eastAsiaTheme="majorEastAsia" w:cs="Arial"/>
          <w:b/>
          <w:bCs/>
          <w:vanish/>
          <w:sz w:val="28"/>
          <w:szCs w:val="28"/>
          <w:lang w:eastAsia="en-GB"/>
        </w:rPr>
      </w:pPr>
      <w:bookmarkStart w:id="67" w:name="_Toc511761251"/>
      <w:bookmarkStart w:id="68" w:name="_Toc511761631"/>
      <w:bookmarkStart w:id="69" w:name="_Toc511761669"/>
      <w:bookmarkStart w:id="70" w:name="_Toc511905332"/>
      <w:bookmarkStart w:id="71" w:name="_Toc512260716"/>
      <w:bookmarkStart w:id="72" w:name="_Toc512331567"/>
      <w:bookmarkStart w:id="73" w:name="_Toc512332392"/>
      <w:bookmarkStart w:id="74" w:name="_Toc512333478"/>
      <w:bookmarkStart w:id="75" w:name="_Toc512337695"/>
      <w:bookmarkStart w:id="76" w:name="_Toc512337956"/>
      <w:bookmarkStart w:id="77" w:name="_Toc532309059"/>
      <w:bookmarkStart w:id="78" w:name="_Toc532463349"/>
      <w:bookmarkStart w:id="79" w:name="_Toc532466481"/>
      <w:bookmarkStart w:id="80" w:name="_Toc532466656"/>
      <w:bookmarkEnd w:id="67"/>
      <w:bookmarkEnd w:id="68"/>
      <w:bookmarkEnd w:id="69"/>
      <w:bookmarkEnd w:id="70"/>
      <w:bookmarkEnd w:id="71"/>
      <w:bookmarkEnd w:id="72"/>
      <w:bookmarkEnd w:id="73"/>
      <w:bookmarkEnd w:id="74"/>
      <w:bookmarkEnd w:id="75"/>
      <w:bookmarkEnd w:id="76"/>
      <w:bookmarkEnd w:id="77"/>
      <w:bookmarkEnd w:id="78"/>
      <w:bookmarkEnd w:id="79"/>
      <w:bookmarkEnd w:id="80"/>
    </w:p>
    <w:bookmarkEnd w:id="20"/>
    <w:bookmarkEnd w:id="38"/>
    <w:p w14:paraId="4E4F055E" w14:textId="77777777" w:rsidR="004B2D2D" w:rsidRPr="001724A0" w:rsidRDefault="004B2D2D" w:rsidP="00D4344B">
      <w:pPr>
        <w:pStyle w:val="Heading1"/>
        <w:ind w:left="360"/>
        <w:rPr>
          <w:rFonts w:cs="Arial"/>
          <w:color w:val="auto"/>
        </w:rPr>
      </w:pPr>
    </w:p>
    <w:p w14:paraId="4E4F055F" w14:textId="77777777" w:rsidR="004B2D2D" w:rsidRPr="001724A0" w:rsidRDefault="004B2D2D" w:rsidP="004B2D2D">
      <w:pPr>
        <w:rPr>
          <w:rFonts w:cs="Arial"/>
        </w:rPr>
      </w:pPr>
    </w:p>
    <w:p w14:paraId="4E4F0560" w14:textId="77777777" w:rsidR="004B2D2D" w:rsidRPr="001724A0" w:rsidRDefault="004B2D2D" w:rsidP="004B2D2D">
      <w:pPr>
        <w:rPr>
          <w:rFonts w:cs="Arial"/>
        </w:rPr>
      </w:pPr>
    </w:p>
    <w:p w14:paraId="4E4F0561" w14:textId="77777777" w:rsidR="004B2D2D" w:rsidRPr="001724A0" w:rsidRDefault="004B2D2D" w:rsidP="004B2D2D">
      <w:pPr>
        <w:rPr>
          <w:rFonts w:cs="Arial"/>
        </w:rPr>
      </w:pPr>
    </w:p>
    <w:p w14:paraId="4E4F0562" w14:textId="77777777" w:rsidR="004B2D2D" w:rsidRPr="001724A0" w:rsidRDefault="004B2D2D" w:rsidP="004B2D2D">
      <w:pPr>
        <w:rPr>
          <w:rFonts w:cs="Arial"/>
        </w:rPr>
      </w:pPr>
    </w:p>
    <w:p w14:paraId="4E4F0563" w14:textId="77777777" w:rsidR="004B2D2D" w:rsidRPr="001724A0" w:rsidRDefault="004B2D2D" w:rsidP="004B2D2D">
      <w:pPr>
        <w:rPr>
          <w:rFonts w:cs="Arial"/>
        </w:rPr>
      </w:pPr>
    </w:p>
    <w:p w14:paraId="4E4F0564" w14:textId="77777777" w:rsidR="004B2D2D" w:rsidRPr="001724A0" w:rsidRDefault="004B2D2D" w:rsidP="004B2D2D">
      <w:pPr>
        <w:rPr>
          <w:rFonts w:cs="Arial"/>
        </w:rPr>
      </w:pPr>
    </w:p>
    <w:p w14:paraId="4E4F0565" w14:textId="77777777" w:rsidR="004B2D2D" w:rsidRPr="001724A0" w:rsidRDefault="004B2D2D" w:rsidP="004B2D2D">
      <w:pPr>
        <w:rPr>
          <w:rFonts w:cs="Arial"/>
        </w:rPr>
      </w:pPr>
    </w:p>
    <w:p w14:paraId="4E4F0566" w14:textId="77777777" w:rsidR="004B2D2D" w:rsidRPr="001724A0" w:rsidRDefault="004B2D2D" w:rsidP="004B2D2D">
      <w:pPr>
        <w:rPr>
          <w:rFonts w:cs="Arial"/>
        </w:rPr>
      </w:pPr>
    </w:p>
    <w:p w14:paraId="4E4F0567" w14:textId="77777777" w:rsidR="004B2D2D" w:rsidRPr="001724A0" w:rsidRDefault="004B2D2D" w:rsidP="004B2D2D">
      <w:pPr>
        <w:rPr>
          <w:rFonts w:cs="Arial"/>
        </w:rPr>
      </w:pPr>
    </w:p>
    <w:p w14:paraId="4E4F0568" w14:textId="77777777" w:rsidR="004B2D2D" w:rsidRPr="001724A0" w:rsidRDefault="004B2D2D" w:rsidP="004B2D2D">
      <w:pPr>
        <w:rPr>
          <w:rFonts w:cs="Arial"/>
        </w:rPr>
      </w:pPr>
    </w:p>
    <w:p w14:paraId="4E4F0569" w14:textId="77777777" w:rsidR="004B2D2D" w:rsidRPr="001724A0" w:rsidRDefault="004B2D2D" w:rsidP="004B2D2D">
      <w:pPr>
        <w:rPr>
          <w:rFonts w:cs="Arial"/>
        </w:rPr>
      </w:pPr>
    </w:p>
    <w:p w14:paraId="4E4F056A" w14:textId="77777777" w:rsidR="004B2D2D" w:rsidRPr="001724A0" w:rsidRDefault="004B2D2D" w:rsidP="004B2D2D">
      <w:pPr>
        <w:rPr>
          <w:rFonts w:cs="Arial"/>
        </w:rPr>
      </w:pPr>
    </w:p>
    <w:p w14:paraId="4E4F056B" w14:textId="77777777" w:rsidR="004B2D2D" w:rsidRPr="001724A0" w:rsidRDefault="004B2D2D" w:rsidP="004B2D2D">
      <w:pPr>
        <w:rPr>
          <w:rFonts w:cs="Arial"/>
        </w:rPr>
      </w:pPr>
    </w:p>
    <w:p w14:paraId="4E4F056C" w14:textId="77777777" w:rsidR="004B2D2D" w:rsidRPr="001724A0" w:rsidRDefault="004B2D2D" w:rsidP="004B2D2D">
      <w:pPr>
        <w:rPr>
          <w:rFonts w:cs="Arial"/>
        </w:rPr>
      </w:pPr>
    </w:p>
    <w:p w14:paraId="4E4F056D" w14:textId="77777777" w:rsidR="00D4344B" w:rsidRPr="001724A0" w:rsidRDefault="00D4344B">
      <w:pPr>
        <w:rPr>
          <w:rFonts w:cs="Arial"/>
        </w:rPr>
      </w:pPr>
      <w:r w:rsidRPr="001724A0">
        <w:rPr>
          <w:rFonts w:cs="Arial"/>
        </w:rPr>
        <w:br w:type="page"/>
      </w:r>
    </w:p>
    <w:p w14:paraId="4E4F056E" w14:textId="77777777" w:rsidR="007C5615" w:rsidRPr="00824D2F" w:rsidRDefault="00085CEB" w:rsidP="00CF6138">
      <w:pPr>
        <w:pStyle w:val="Heading1"/>
        <w:ind w:left="709"/>
        <w:jc w:val="center"/>
        <w:rPr>
          <w:rFonts w:cs="Arial"/>
          <w:color w:val="auto"/>
          <w:sz w:val="24"/>
          <w:szCs w:val="24"/>
        </w:rPr>
      </w:pPr>
      <w:bookmarkStart w:id="81" w:name="_Toc532466657"/>
      <w:r w:rsidRPr="00824D2F">
        <w:rPr>
          <w:rFonts w:cs="Arial"/>
          <w:color w:val="auto"/>
          <w:sz w:val="24"/>
          <w:szCs w:val="24"/>
        </w:rPr>
        <w:lastRenderedPageBreak/>
        <w:t>Section C</w:t>
      </w:r>
      <w:r w:rsidR="00CD173F" w:rsidRPr="00824D2F">
        <w:rPr>
          <w:rFonts w:cs="Arial"/>
          <w:color w:val="auto"/>
          <w:sz w:val="24"/>
          <w:szCs w:val="24"/>
        </w:rPr>
        <w:t xml:space="preserve"> </w:t>
      </w:r>
      <w:r w:rsidR="004F10E6" w:rsidRPr="00824D2F">
        <w:rPr>
          <w:rFonts w:cs="Arial"/>
          <w:color w:val="auto"/>
          <w:sz w:val="24"/>
          <w:szCs w:val="24"/>
        </w:rPr>
        <w:t>–</w:t>
      </w:r>
      <w:r w:rsidRPr="00824D2F">
        <w:rPr>
          <w:rFonts w:cs="Arial"/>
          <w:color w:val="auto"/>
          <w:sz w:val="24"/>
          <w:szCs w:val="24"/>
        </w:rPr>
        <w:t xml:space="preserve"> </w:t>
      </w:r>
      <w:r w:rsidR="007031BB" w:rsidRPr="00824D2F">
        <w:rPr>
          <w:rFonts w:cs="Arial"/>
          <w:color w:val="auto"/>
          <w:sz w:val="24"/>
          <w:szCs w:val="24"/>
        </w:rPr>
        <w:t xml:space="preserve">Anti-money laundering procedures - what you need to </w:t>
      </w:r>
      <w:proofErr w:type="gramStart"/>
      <w:r w:rsidR="007031BB" w:rsidRPr="00824D2F">
        <w:rPr>
          <w:rFonts w:cs="Arial"/>
          <w:color w:val="auto"/>
          <w:sz w:val="24"/>
          <w:szCs w:val="24"/>
        </w:rPr>
        <w:t>do</w:t>
      </w:r>
      <w:bookmarkEnd w:id="81"/>
      <w:proofErr w:type="gramEnd"/>
    </w:p>
    <w:p w14:paraId="4E4F056F" w14:textId="77777777" w:rsidR="00D772D3" w:rsidRDefault="00D772D3" w:rsidP="00CF6138">
      <w:pPr>
        <w:ind w:left="709"/>
        <w:rPr>
          <w:rFonts w:cs="Arial"/>
        </w:rPr>
      </w:pPr>
    </w:p>
    <w:p w14:paraId="4E4F0570" w14:textId="77777777" w:rsidR="00AB1175" w:rsidRPr="001724A0" w:rsidRDefault="007031BB" w:rsidP="00CF6138">
      <w:pPr>
        <w:ind w:left="709"/>
        <w:rPr>
          <w:rFonts w:cs="Arial"/>
          <w:b/>
        </w:rPr>
      </w:pPr>
      <w:r w:rsidRPr="001724A0">
        <w:rPr>
          <w:rFonts w:cs="Arial"/>
        </w:rPr>
        <w:t xml:space="preserve">This section sets out the range of work that supports the implementation of the </w:t>
      </w:r>
      <w:proofErr w:type="gramStart"/>
      <w:r w:rsidRPr="001724A0">
        <w:rPr>
          <w:rFonts w:cs="Arial"/>
        </w:rPr>
        <w:t>policy</w:t>
      </w:r>
      <w:proofErr w:type="gramEnd"/>
    </w:p>
    <w:p w14:paraId="4E4F0571" w14:textId="77777777" w:rsidR="007D71BE" w:rsidRPr="00824D2F" w:rsidRDefault="008212C1" w:rsidP="008212C1">
      <w:pPr>
        <w:pStyle w:val="Heading1"/>
        <w:rPr>
          <w:rFonts w:cs="Arial"/>
          <w:color w:val="auto"/>
          <w:sz w:val="24"/>
        </w:rPr>
      </w:pPr>
      <w:bookmarkStart w:id="82" w:name="_Toc532466658"/>
      <w:bookmarkStart w:id="83" w:name="_Toc510540539"/>
      <w:r>
        <w:rPr>
          <w:color w:val="auto"/>
          <w:sz w:val="24"/>
        </w:rPr>
        <w:t>10</w:t>
      </w:r>
      <w:r>
        <w:rPr>
          <w:color w:val="auto"/>
          <w:sz w:val="24"/>
        </w:rPr>
        <w:tab/>
      </w:r>
      <w:r w:rsidR="007D71BE" w:rsidRPr="00824D2F">
        <w:rPr>
          <w:color w:val="auto"/>
          <w:sz w:val="24"/>
        </w:rPr>
        <w:t>Reporting Suspicions of Money Laundering</w:t>
      </w:r>
      <w:bookmarkEnd w:id="82"/>
    </w:p>
    <w:p w14:paraId="4E4F0572" w14:textId="77777777" w:rsidR="007D71BE" w:rsidRPr="001724A0" w:rsidRDefault="007D71BE" w:rsidP="007D71BE">
      <w:pPr>
        <w:pStyle w:val="ListParagraph"/>
        <w:autoSpaceDE w:val="0"/>
        <w:autoSpaceDN w:val="0"/>
        <w:adjustRightInd w:val="0"/>
        <w:spacing w:before="100" w:beforeAutospacing="1" w:after="100" w:afterAutospacing="1"/>
        <w:ind w:left="0"/>
        <w:rPr>
          <w:b/>
        </w:rPr>
      </w:pPr>
    </w:p>
    <w:p w14:paraId="4E4F0573" w14:textId="77777777" w:rsidR="007D71BE" w:rsidRPr="001724A0" w:rsidRDefault="007D71BE" w:rsidP="00E81515">
      <w:pPr>
        <w:pStyle w:val="ListParagraph"/>
        <w:numPr>
          <w:ilvl w:val="0"/>
          <w:numId w:val="12"/>
        </w:numPr>
        <w:autoSpaceDE w:val="0"/>
        <w:autoSpaceDN w:val="0"/>
        <w:adjustRightInd w:val="0"/>
        <w:spacing w:before="100" w:beforeAutospacing="1" w:after="100" w:afterAutospacing="1"/>
        <w:ind w:left="709"/>
      </w:pPr>
      <w:r w:rsidRPr="001724A0">
        <w:t xml:space="preserve">The concept of a ‘suspicion’ of money laundering features </w:t>
      </w:r>
      <w:proofErr w:type="gramStart"/>
      <w:r w:rsidRPr="001724A0">
        <w:t>a number of</w:t>
      </w:r>
      <w:proofErr w:type="gramEnd"/>
      <w:r w:rsidRPr="001724A0">
        <w:t xml:space="preserve"> times in the legislation and regulatory guidance but is not defined. The courts have defined it as being beyond mere speculation, being based on some foundation. For a transaction to be suspicious, the exact nature of the criminal offence need not be certain.</w:t>
      </w:r>
    </w:p>
    <w:p w14:paraId="4E4F0574" w14:textId="77777777" w:rsidR="007D71BE" w:rsidRPr="001724A0" w:rsidRDefault="007D71BE" w:rsidP="007D71BE">
      <w:pPr>
        <w:pStyle w:val="ListParagraph"/>
        <w:autoSpaceDE w:val="0"/>
        <w:autoSpaceDN w:val="0"/>
        <w:adjustRightInd w:val="0"/>
        <w:spacing w:before="100" w:beforeAutospacing="1" w:after="100" w:afterAutospacing="1"/>
        <w:ind w:left="360"/>
      </w:pPr>
    </w:p>
    <w:p w14:paraId="4E4F0575" w14:textId="7FBF287F" w:rsidR="007D71BE" w:rsidRPr="001724A0" w:rsidRDefault="007D71BE" w:rsidP="00E81515">
      <w:pPr>
        <w:pStyle w:val="ListParagraph"/>
        <w:numPr>
          <w:ilvl w:val="0"/>
          <w:numId w:val="12"/>
        </w:numPr>
        <w:autoSpaceDE w:val="0"/>
        <w:autoSpaceDN w:val="0"/>
        <w:adjustRightInd w:val="0"/>
        <w:spacing w:before="100" w:beforeAutospacing="1" w:after="100" w:afterAutospacing="1"/>
        <w:ind w:left="709"/>
      </w:pPr>
      <w:r w:rsidRPr="001724A0">
        <w:t xml:space="preserve">Where you know or suspect that money laundering activity is taking/has taken </w:t>
      </w:r>
      <w:proofErr w:type="gramStart"/>
      <w:r w:rsidRPr="001724A0">
        <w:t>place, or</w:t>
      </w:r>
      <w:proofErr w:type="gramEnd"/>
      <w:r w:rsidRPr="001724A0">
        <w:t xml:space="preserve"> become concerned that your involvement in a matter may amount to a prohibited act under sections 327 – 329 of the </w:t>
      </w:r>
      <w:r w:rsidR="0000051B">
        <w:t xml:space="preserve">Proceeds of Crime </w:t>
      </w:r>
      <w:r w:rsidRPr="001724A0">
        <w:t>Act</w:t>
      </w:r>
      <w:r w:rsidR="0000051B">
        <w:t xml:space="preserve"> 2002 (as amended)</w:t>
      </w:r>
      <w:r w:rsidRPr="001724A0">
        <w:t xml:space="preserve">, you must disclose this as soon as practicable to the MLRO. The disclosure should be within </w:t>
      </w:r>
      <w:r w:rsidR="00C0710F">
        <w:t xml:space="preserve">24 </w:t>
      </w:r>
      <w:r w:rsidRPr="001724A0">
        <w:t xml:space="preserve">hours of the information coming to your attention, not weeks or months later. </w:t>
      </w:r>
      <w:r w:rsidR="00934AB8">
        <w:t xml:space="preserve">Transactions involving digital financial services, such as payments in </w:t>
      </w:r>
      <w:proofErr w:type="spellStart"/>
      <w:r w:rsidR="00934AB8">
        <w:t>cryptoassets</w:t>
      </w:r>
      <w:proofErr w:type="spellEnd"/>
      <w:r w:rsidR="00934AB8">
        <w:t xml:space="preserve">, should be treated with the same level of suspicion and reported promptly. </w:t>
      </w:r>
      <w:r w:rsidRPr="001724A0">
        <w:rPr>
          <w:b/>
        </w:rPr>
        <w:t>SHOULD YOU NOT DO SO, THEN YOU MAY BE LIABLE TO PROSECUTION</w:t>
      </w:r>
      <w:r w:rsidRPr="001724A0">
        <w:t xml:space="preserve">. </w:t>
      </w:r>
    </w:p>
    <w:p w14:paraId="4E4F0576" w14:textId="77777777" w:rsidR="007D71BE" w:rsidRPr="001724A0" w:rsidRDefault="007D71BE" w:rsidP="007D71BE">
      <w:pPr>
        <w:pStyle w:val="ListParagraph"/>
        <w:autoSpaceDE w:val="0"/>
        <w:autoSpaceDN w:val="0"/>
        <w:adjustRightInd w:val="0"/>
        <w:spacing w:before="100" w:beforeAutospacing="1" w:after="100" w:afterAutospacing="1"/>
        <w:ind w:left="360"/>
      </w:pPr>
    </w:p>
    <w:p w14:paraId="4E4F0577" w14:textId="77777777" w:rsidR="007D71BE" w:rsidRPr="001724A0" w:rsidRDefault="007D71BE" w:rsidP="00E81515">
      <w:pPr>
        <w:pStyle w:val="ListParagraph"/>
        <w:numPr>
          <w:ilvl w:val="0"/>
          <w:numId w:val="12"/>
        </w:numPr>
        <w:autoSpaceDE w:val="0"/>
        <w:autoSpaceDN w:val="0"/>
        <w:adjustRightInd w:val="0"/>
        <w:spacing w:before="100" w:beforeAutospacing="1" w:after="100" w:afterAutospacing="1"/>
        <w:ind w:left="709"/>
        <w:rPr>
          <w:b/>
        </w:rPr>
      </w:pPr>
      <w:r w:rsidRPr="001724A0">
        <w:t xml:space="preserve">Advice for both employee and the MLRO are attached at </w:t>
      </w:r>
      <w:r w:rsidRPr="001724A0">
        <w:rPr>
          <w:b/>
        </w:rPr>
        <w:t>Appendix1</w:t>
      </w:r>
      <w:r w:rsidRPr="001724A0">
        <w:t xml:space="preserve">. A flow chart illustrating the procedure for reporting money laundering is at </w:t>
      </w:r>
      <w:r w:rsidRPr="001724A0">
        <w:rPr>
          <w:b/>
        </w:rPr>
        <w:t>Appendix 2</w:t>
      </w:r>
      <w:r w:rsidRPr="001724A0">
        <w:t xml:space="preserve">. The Report to Money Laundering Reporting Officer form is at </w:t>
      </w:r>
      <w:r w:rsidRPr="001724A0">
        <w:rPr>
          <w:b/>
        </w:rPr>
        <w:t>Appendix 3</w:t>
      </w:r>
    </w:p>
    <w:p w14:paraId="4E4F0578" w14:textId="77777777" w:rsidR="00851589" w:rsidRPr="00CF6138" w:rsidRDefault="00851589" w:rsidP="00E81515">
      <w:pPr>
        <w:pStyle w:val="Heading1"/>
        <w:numPr>
          <w:ilvl w:val="0"/>
          <w:numId w:val="10"/>
        </w:numPr>
        <w:ind w:left="709" w:hanging="709"/>
        <w:rPr>
          <w:rFonts w:cs="Arial"/>
          <w:color w:val="auto"/>
          <w:sz w:val="24"/>
        </w:rPr>
      </w:pPr>
      <w:bookmarkStart w:id="84" w:name="_Toc532466659"/>
      <w:r w:rsidRPr="00CF6138">
        <w:rPr>
          <w:color w:val="auto"/>
          <w:sz w:val="24"/>
        </w:rPr>
        <w:t>Record Keeping Procedures</w:t>
      </w:r>
      <w:bookmarkEnd w:id="84"/>
    </w:p>
    <w:p w14:paraId="4E4F0579" w14:textId="77777777" w:rsidR="00851589" w:rsidRPr="001724A0" w:rsidRDefault="00851589" w:rsidP="00CF6138">
      <w:pPr>
        <w:spacing w:before="100" w:beforeAutospacing="1" w:after="100" w:afterAutospacing="1"/>
        <w:ind w:left="709"/>
      </w:pPr>
      <w:r w:rsidRPr="001724A0">
        <w:t>Each service area conducting relevant business must maintain records of:</w:t>
      </w:r>
    </w:p>
    <w:p w14:paraId="4E4F057A" w14:textId="77777777" w:rsidR="00851589" w:rsidRPr="001724A0" w:rsidRDefault="00851589" w:rsidP="00851589">
      <w:pPr>
        <w:pStyle w:val="ListParagraph"/>
        <w:spacing w:before="100" w:beforeAutospacing="1" w:after="100" w:afterAutospacing="1"/>
        <w:ind w:left="0"/>
      </w:pPr>
    </w:p>
    <w:p w14:paraId="4E4F057B" w14:textId="16B99403" w:rsidR="00851589" w:rsidRPr="001724A0" w:rsidRDefault="00851589" w:rsidP="00E81515">
      <w:pPr>
        <w:pStyle w:val="ListParagraph"/>
        <w:numPr>
          <w:ilvl w:val="0"/>
          <w:numId w:val="15"/>
        </w:numPr>
        <w:autoSpaceDE w:val="0"/>
        <w:autoSpaceDN w:val="0"/>
        <w:adjustRightInd w:val="0"/>
        <w:spacing w:before="100" w:beforeAutospacing="1" w:after="100" w:afterAutospacing="1"/>
        <w:ind w:left="709" w:hanging="283"/>
      </w:pPr>
      <w:r w:rsidRPr="001724A0">
        <w:t xml:space="preserve">Client identification evidence </w:t>
      </w:r>
      <w:r w:rsidR="003C6AEB" w:rsidRPr="001724A0">
        <w:t>obtained.</w:t>
      </w:r>
    </w:p>
    <w:p w14:paraId="4E4F057C" w14:textId="0366F1FA" w:rsidR="00851589" w:rsidRPr="001724A0" w:rsidRDefault="00851589" w:rsidP="00E81515">
      <w:pPr>
        <w:pStyle w:val="ListParagraph"/>
        <w:numPr>
          <w:ilvl w:val="0"/>
          <w:numId w:val="15"/>
        </w:numPr>
        <w:autoSpaceDE w:val="0"/>
        <w:autoSpaceDN w:val="0"/>
        <w:adjustRightInd w:val="0"/>
        <w:spacing w:before="100" w:beforeAutospacing="1" w:after="100" w:afterAutospacing="1"/>
        <w:ind w:left="709" w:hanging="283"/>
      </w:pPr>
      <w:r w:rsidRPr="001724A0">
        <w:t>Details of all relevant business transactions</w:t>
      </w:r>
      <w:r w:rsidR="0083112D">
        <w:t xml:space="preserve">, including </w:t>
      </w:r>
      <w:r w:rsidR="00C90D70">
        <w:t xml:space="preserve">those involving electronic funds transfers or </w:t>
      </w:r>
      <w:proofErr w:type="spellStart"/>
      <w:r w:rsidR="00C90D70">
        <w:t>cryptoassets</w:t>
      </w:r>
      <w:proofErr w:type="spellEnd"/>
      <w:r w:rsidR="00C90D70">
        <w:t>,</w:t>
      </w:r>
      <w:r w:rsidRPr="001724A0">
        <w:t xml:space="preserve"> carried out for clients for at least five years. </w:t>
      </w:r>
    </w:p>
    <w:p w14:paraId="4E4F057D" w14:textId="77777777" w:rsidR="00851589" w:rsidRPr="001724A0" w:rsidRDefault="00851589" w:rsidP="00E81515">
      <w:pPr>
        <w:pStyle w:val="ListParagraph"/>
        <w:numPr>
          <w:ilvl w:val="0"/>
          <w:numId w:val="15"/>
        </w:numPr>
        <w:autoSpaceDE w:val="0"/>
        <w:autoSpaceDN w:val="0"/>
        <w:adjustRightInd w:val="0"/>
        <w:spacing w:before="100" w:beforeAutospacing="1" w:after="100" w:afterAutospacing="1"/>
        <w:ind w:left="709" w:hanging="283"/>
      </w:pPr>
      <w:r w:rsidRPr="001724A0">
        <w:t xml:space="preserve">This is so that they may be used as evidence in any subsequent investigation by the authorities into money laundering. </w:t>
      </w:r>
    </w:p>
    <w:p w14:paraId="4E4F057E" w14:textId="77777777" w:rsidR="00851589" w:rsidRPr="001724A0" w:rsidRDefault="00851589" w:rsidP="00E81515">
      <w:pPr>
        <w:pStyle w:val="ListParagraph"/>
        <w:numPr>
          <w:ilvl w:val="0"/>
          <w:numId w:val="15"/>
        </w:numPr>
        <w:autoSpaceDE w:val="0"/>
        <w:autoSpaceDN w:val="0"/>
        <w:adjustRightInd w:val="0"/>
        <w:spacing w:before="100" w:beforeAutospacing="1" w:after="100" w:afterAutospacing="1"/>
        <w:ind w:left="709" w:hanging="283"/>
      </w:pPr>
      <w:r w:rsidRPr="001724A0">
        <w:t>The precise nature of the records is not prescribed by law however they must be capable of providing an audit trail during any subsequent investigation, for example distinguishing the client and the relevant transaction and recording in what form any funds were received or paid. In practice, all areas of O</w:t>
      </w:r>
      <w:r w:rsidR="00824D2F">
        <w:t>CC</w:t>
      </w:r>
      <w:r w:rsidRPr="001724A0">
        <w:t xml:space="preserve"> will be routinely making records of work carried out for clients </w:t>
      </w:r>
      <w:proofErr w:type="gramStart"/>
      <w:r w:rsidRPr="001724A0">
        <w:t>in the course of</w:t>
      </w:r>
      <w:proofErr w:type="gramEnd"/>
      <w:r w:rsidRPr="001724A0">
        <w:t xml:space="preserve"> normal business and these should suffice in this regard. </w:t>
      </w:r>
    </w:p>
    <w:p w14:paraId="4E4F057F" w14:textId="77777777" w:rsidR="00802DF0" w:rsidRPr="001724A0" w:rsidRDefault="003B7C8D" w:rsidP="00E81515">
      <w:pPr>
        <w:pStyle w:val="Heading1"/>
        <w:numPr>
          <w:ilvl w:val="0"/>
          <w:numId w:val="10"/>
        </w:numPr>
        <w:ind w:left="709" w:hanging="709"/>
        <w:rPr>
          <w:rFonts w:cs="Arial"/>
          <w:color w:val="auto"/>
        </w:rPr>
      </w:pPr>
      <w:bookmarkStart w:id="85" w:name="_Toc532466660"/>
      <w:r w:rsidRPr="00CF6138">
        <w:rPr>
          <w:rFonts w:cs="Arial"/>
          <w:color w:val="auto"/>
          <w:sz w:val="24"/>
        </w:rPr>
        <w:lastRenderedPageBreak/>
        <w:t xml:space="preserve">Guidance for </w:t>
      </w:r>
      <w:r w:rsidR="00DB39EB" w:rsidRPr="00CF6138">
        <w:rPr>
          <w:rFonts w:cs="Arial"/>
          <w:color w:val="auto"/>
          <w:sz w:val="24"/>
        </w:rPr>
        <w:t>cash payments</w:t>
      </w:r>
      <w:r w:rsidRPr="00CF6138">
        <w:rPr>
          <w:rFonts w:cs="Arial"/>
          <w:color w:val="auto"/>
          <w:sz w:val="24"/>
        </w:rPr>
        <w:t>.</w:t>
      </w:r>
      <w:bookmarkEnd w:id="83"/>
      <w:bookmarkEnd w:id="85"/>
      <w:r w:rsidR="00802DF0" w:rsidRPr="00CF6138">
        <w:rPr>
          <w:rFonts w:cs="Arial"/>
          <w:color w:val="auto"/>
        </w:rPr>
        <w:br/>
      </w:r>
    </w:p>
    <w:p w14:paraId="4E4F0581" w14:textId="5B73B36A" w:rsidR="0021551B" w:rsidRPr="003C6AEB" w:rsidRDefault="0021551B" w:rsidP="003C6AEB">
      <w:pPr>
        <w:pStyle w:val="ListParagraph"/>
        <w:numPr>
          <w:ilvl w:val="0"/>
          <w:numId w:val="20"/>
        </w:numPr>
        <w:ind w:left="709" w:hanging="709"/>
        <w:rPr>
          <w:rFonts w:cs="Arial"/>
        </w:rPr>
      </w:pPr>
      <w:r w:rsidRPr="00DB4FAD">
        <w:rPr>
          <w:rFonts w:cs="Arial"/>
          <w:bCs/>
        </w:rPr>
        <w:t xml:space="preserve">No payment to OCC should automatically be accepted in cash (including notes, coins or </w:t>
      </w:r>
      <w:proofErr w:type="gramStart"/>
      <w:r w:rsidRPr="00DB4FAD">
        <w:rPr>
          <w:rFonts w:cs="Arial"/>
          <w:bCs/>
        </w:rPr>
        <w:t>travellers</w:t>
      </w:r>
      <w:proofErr w:type="gramEnd"/>
      <w:r w:rsidRPr="00DB4FAD">
        <w:rPr>
          <w:rFonts w:cs="Arial"/>
          <w:bCs/>
        </w:rPr>
        <w:t xml:space="preserve"> cheques in any currency) if it exceeds £5,000.</w:t>
      </w:r>
      <w:r w:rsidR="003C6AEB">
        <w:rPr>
          <w:rFonts w:cs="Arial"/>
          <w:bCs/>
        </w:rPr>
        <w:t xml:space="preserve"> </w:t>
      </w:r>
      <w:r w:rsidR="00612644" w:rsidRPr="003C6AEB">
        <w:rPr>
          <w:rFonts w:cs="Arial"/>
        </w:rPr>
        <w:t>The council has agreed to transition to a cashless approach for all its transactions, thereby limiting the applicability of this policy. However, in exceptional cases where cash payments are unavoidable, this does not mean that cash transactions below this value are automatically valid and legal or should not raise suspicion. Professional scepticism must be maintained for all cash transactions, particularly if other red flags, such as reluctance to provide identification, are present.</w:t>
      </w:r>
    </w:p>
    <w:p w14:paraId="0C5A2911" w14:textId="77777777" w:rsidR="00417BD7" w:rsidRPr="00417BD7" w:rsidRDefault="00417BD7" w:rsidP="00417BD7">
      <w:pPr>
        <w:rPr>
          <w:rFonts w:cs="Arial"/>
        </w:rPr>
      </w:pPr>
    </w:p>
    <w:p w14:paraId="4E4F0582" w14:textId="77777777" w:rsidR="0021551B" w:rsidRPr="001724A0" w:rsidRDefault="0021551B" w:rsidP="00E81515">
      <w:pPr>
        <w:numPr>
          <w:ilvl w:val="0"/>
          <w:numId w:val="12"/>
        </w:numPr>
        <w:ind w:left="709"/>
        <w:rPr>
          <w:rFonts w:cs="Arial"/>
        </w:rPr>
      </w:pPr>
      <w:r w:rsidRPr="001724A0">
        <w:rPr>
          <w:rFonts w:cs="Arial"/>
        </w:rPr>
        <w:t>Employees who collect cash payments are asked to provide the details of any cash transaction over £5,000 to the MLRO so that precautionary checks can be performed.</w:t>
      </w:r>
    </w:p>
    <w:p w14:paraId="4E4F0583" w14:textId="77777777" w:rsidR="0021551B" w:rsidRPr="001724A0" w:rsidRDefault="0021551B" w:rsidP="00CF6138">
      <w:pPr>
        <w:ind w:left="709" w:hanging="709"/>
        <w:rPr>
          <w:rFonts w:cs="Arial"/>
        </w:rPr>
      </w:pPr>
    </w:p>
    <w:p w14:paraId="4E4F0584" w14:textId="77777777" w:rsidR="0021551B" w:rsidRPr="001724A0" w:rsidRDefault="0021551B" w:rsidP="00E81515">
      <w:pPr>
        <w:numPr>
          <w:ilvl w:val="0"/>
          <w:numId w:val="12"/>
        </w:numPr>
        <w:ind w:left="709"/>
        <w:rPr>
          <w:rFonts w:cs="Arial"/>
        </w:rPr>
      </w:pPr>
      <w:r w:rsidRPr="001724A0">
        <w:rPr>
          <w:rFonts w:cs="Arial"/>
        </w:rPr>
        <w:t xml:space="preserve">OCC, in the normal operation of its services, accepts payments from individuals and organisations. If an employee has no reason to suspect or know that money laundering activity is taking/has taken place and if the money offered is less than £5,000 in cash as payment or part payment for goods/services offered by the </w:t>
      </w:r>
      <w:proofErr w:type="gramStart"/>
      <w:r w:rsidRPr="001724A0">
        <w:rPr>
          <w:rFonts w:cs="Arial"/>
        </w:rPr>
        <w:t>Council</w:t>
      </w:r>
      <w:proofErr w:type="gramEnd"/>
      <w:r w:rsidRPr="001724A0">
        <w:rPr>
          <w:rFonts w:cs="Arial"/>
        </w:rPr>
        <w:t xml:space="preserve"> then there is no need to seek guidance from the MLRO.</w:t>
      </w:r>
    </w:p>
    <w:p w14:paraId="4E4F0585" w14:textId="77777777" w:rsidR="0021551B" w:rsidRPr="001724A0" w:rsidRDefault="0021551B" w:rsidP="00CF6138">
      <w:pPr>
        <w:ind w:left="709" w:hanging="709"/>
        <w:rPr>
          <w:rFonts w:cs="Arial"/>
        </w:rPr>
      </w:pPr>
    </w:p>
    <w:p w14:paraId="4E4F0586" w14:textId="77777777" w:rsidR="0021551B" w:rsidRPr="001724A0" w:rsidRDefault="0021551B" w:rsidP="00E81515">
      <w:pPr>
        <w:numPr>
          <w:ilvl w:val="0"/>
          <w:numId w:val="12"/>
        </w:numPr>
        <w:ind w:left="709"/>
        <w:rPr>
          <w:rFonts w:cs="Arial"/>
        </w:rPr>
      </w:pPr>
      <w:r w:rsidRPr="001724A0">
        <w:rPr>
          <w:rFonts w:cs="Arial"/>
        </w:rPr>
        <w:t xml:space="preserve">If a member of staff has reasonable grounds to suspect money laundering activities or proceeds of crime, or is simply suspicious, the matter should still be reported to the MLRO. If the money offered is £5,000 or more in </w:t>
      </w:r>
      <w:proofErr w:type="gramStart"/>
      <w:r w:rsidRPr="001724A0">
        <w:rPr>
          <w:rFonts w:cs="Arial"/>
        </w:rPr>
        <w:t>cash</w:t>
      </w:r>
      <w:proofErr w:type="gramEnd"/>
      <w:r w:rsidRPr="001724A0">
        <w:rPr>
          <w:rFonts w:cs="Arial"/>
        </w:rPr>
        <w:t xml:space="preserve"> then payment must not be accepted until guidance has been received from the MLRO even if this means the person has to be asked to wait.</w:t>
      </w:r>
    </w:p>
    <w:p w14:paraId="4E4F0587" w14:textId="77777777" w:rsidR="0021551B" w:rsidRPr="001724A0" w:rsidRDefault="0021551B" w:rsidP="00CF6138">
      <w:pPr>
        <w:ind w:left="709" w:hanging="709"/>
        <w:rPr>
          <w:rFonts w:cs="Arial"/>
        </w:rPr>
      </w:pPr>
    </w:p>
    <w:p w14:paraId="4E4F0588" w14:textId="77777777" w:rsidR="0021551B" w:rsidRPr="001724A0" w:rsidRDefault="0021551B" w:rsidP="00E81515">
      <w:pPr>
        <w:numPr>
          <w:ilvl w:val="0"/>
          <w:numId w:val="12"/>
        </w:numPr>
        <w:ind w:left="709"/>
        <w:rPr>
          <w:rFonts w:cs="Arial"/>
        </w:rPr>
      </w:pPr>
      <w:r w:rsidRPr="001724A0">
        <w:rPr>
          <w:rFonts w:cs="Arial"/>
        </w:rPr>
        <w:t>Any officer involved in a transaction of this kind should ensure that the person provides satisfactory evidence of their identity personally, through a valid passport/photo driving licence plus one other document providing evidence of current address in the form of a bank statement, credit card statement, mortgage or insurance details or a utility bill which is no more than three months old. Where the other party is a company, this can be done through company formation documents or a business rates bill plus online checks.</w:t>
      </w:r>
    </w:p>
    <w:p w14:paraId="4E4F058A" w14:textId="77777777" w:rsidR="00103E57" w:rsidRPr="009B5B70" w:rsidRDefault="00103E57" w:rsidP="00E81515">
      <w:pPr>
        <w:pStyle w:val="Heading1"/>
        <w:numPr>
          <w:ilvl w:val="0"/>
          <w:numId w:val="10"/>
        </w:numPr>
        <w:ind w:left="851" w:hanging="709"/>
        <w:rPr>
          <w:color w:val="auto"/>
          <w:sz w:val="24"/>
        </w:rPr>
      </w:pPr>
      <w:bookmarkStart w:id="86" w:name="_Toc532466661"/>
      <w:r w:rsidRPr="009B5B70">
        <w:rPr>
          <w:color w:val="auto"/>
          <w:sz w:val="24"/>
        </w:rPr>
        <w:t>Further Information</w:t>
      </w:r>
      <w:bookmarkEnd w:id="86"/>
    </w:p>
    <w:p w14:paraId="4E4F058C" w14:textId="1D7508E9" w:rsidR="00103E57" w:rsidRPr="001724A0" w:rsidRDefault="00103E57" w:rsidP="00E81515">
      <w:pPr>
        <w:pStyle w:val="ListParagraph"/>
        <w:numPr>
          <w:ilvl w:val="1"/>
          <w:numId w:val="12"/>
        </w:numPr>
        <w:autoSpaceDE w:val="0"/>
        <w:autoSpaceDN w:val="0"/>
        <w:adjustRightInd w:val="0"/>
        <w:spacing w:before="100" w:beforeAutospacing="1" w:after="100" w:afterAutospacing="1"/>
      </w:pPr>
      <w:r w:rsidRPr="001724A0">
        <w:t xml:space="preserve">Further information can be obtained from the MLRO, the </w:t>
      </w:r>
      <w:r w:rsidR="001C48CB">
        <w:t>Counter-Fraud</w:t>
      </w:r>
      <w:r w:rsidRPr="001724A0">
        <w:t xml:space="preserve"> Team, and the following sources: </w:t>
      </w:r>
    </w:p>
    <w:p w14:paraId="4E4F058D" w14:textId="77777777" w:rsidR="00103E57" w:rsidRPr="001724A0" w:rsidRDefault="00103E57" w:rsidP="00E81515">
      <w:pPr>
        <w:pStyle w:val="ListParagraph"/>
        <w:numPr>
          <w:ilvl w:val="1"/>
          <w:numId w:val="12"/>
        </w:numPr>
        <w:autoSpaceDE w:val="0"/>
        <w:autoSpaceDN w:val="0"/>
        <w:adjustRightInd w:val="0"/>
        <w:spacing w:before="100" w:beforeAutospacing="1" w:after="100" w:afterAutospacing="1"/>
      </w:pPr>
      <w:r w:rsidRPr="001724A0">
        <w:t xml:space="preserve">National Crime Agency (NCA) – </w:t>
      </w:r>
      <w:hyperlink r:id="rId12" w:history="1">
        <w:r w:rsidRPr="001724A0">
          <w:rPr>
            <w:rStyle w:val="Hyperlink"/>
            <w:color w:val="auto"/>
          </w:rPr>
          <w:t>http://www.nationalcrimeagency.gov.uk/</w:t>
        </w:r>
      </w:hyperlink>
      <w:r w:rsidRPr="001724A0">
        <w:t xml:space="preserve"> </w:t>
      </w:r>
    </w:p>
    <w:p w14:paraId="4E4F058F" w14:textId="790A4B44" w:rsidR="00103E57" w:rsidRPr="00EE4BAD" w:rsidRDefault="00103E57" w:rsidP="00E81515">
      <w:pPr>
        <w:pStyle w:val="ListParagraph"/>
        <w:numPr>
          <w:ilvl w:val="1"/>
          <w:numId w:val="12"/>
        </w:numPr>
        <w:autoSpaceDE w:val="0"/>
        <w:autoSpaceDN w:val="0"/>
        <w:adjustRightInd w:val="0"/>
        <w:spacing w:before="100" w:beforeAutospacing="1" w:after="100" w:afterAutospacing="1"/>
        <w:rPr>
          <w:rStyle w:val="Hyperlink"/>
          <w:rFonts w:cs="Times New Roman"/>
          <w:noProof w:val="0"/>
        </w:rPr>
      </w:pPr>
      <w:r w:rsidRPr="001724A0">
        <w:t xml:space="preserve">CCAB - Anti-Money Laundering (Proceeds of Crime and Terrorism) – Guidance for Accountants – </w:t>
      </w:r>
      <w:hyperlink r:id="rId13" w:history="1">
        <w:r w:rsidRPr="001724A0">
          <w:rPr>
            <w:rStyle w:val="Hyperlink"/>
            <w:color w:val="auto"/>
          </w:rPr>
          <w:t>www.ccab.org.uk</w:t>
        </w:r>
      </w:hyperlink>
      <w:r w:rsidRPr="001724A0">
        <w:t xml:space="preserve"> (main site) or </w:t>
      </w:r>
      <w:r w:rsidR="00EE4BAD">
        <w:rPr>
          <w:rFonts w:cs="Arial"/>
          <w:noProof/>
        </w:rPr>
        <w:fldChar w:fldCharType="begin"/>
      </w:r>
      <w:r w:rsidR="00EE4BAD">
        <w:rPr>
          <w:rFonts w:cs="Arial"/>
          <w:noProof/>
        </w:rPr>
        <w:instrText>HYPERLINK "https://www.ccab.org.uk/anti-money-laundering-and-counter-terrorist-financing-guidance-for-the-accountancy-sector-2023/"</w:instrText>
      </w:r>
      <w:r w:rsidR="00EE4BAD">
        <w:rPr>
          <w:rFonts w:cs="Arial"/>
          <w:noProof/>
        </w:rPr>
      </w:r>
      <w:r w:rsidR="00EE4BAD">
        <w:rPr>
          <w:rFonts w:cs="Arial"/>
          <w:noProof/>
        </w:rPr>
        <w:fldChar w:fldCharType="separate"/>
      </w:r>
      <w:r w:rsidRPr="00D26914">
        <w:rPr>
          <w:rStyle w:val="Hyperlink"/>
        </w:rPr>
        <w:t xml:space="preserve">Anti-money laundering guidance for the accountancy </w:t>
      </w:r>
      <w:r w:rsidR="00EE4BAD" w:rsidRPr="00D26914">
        <w:rPr>
          <w:rStyle w:val="Hyperlink"/>
        </w:rPr>
        <w:t xml:space="preserve">sector </w:t>
      </w:r>
      <w:r w:rsidRPr="00D26914">
        <w:rPr>
          <w:rStyle w:val="Hyperlink"/>
        </w:rPr>
        <w:t>document</w:t>
      </w:r>
      <w:r w:rsidRPr="00EE4BAD">
        <w:rPr>
          <w:rStyle w:val="Hyperlink"/>
          <w:rFonts w:cs="Times New Roman"/>
          <w:noProof w:val="0"/>
        </w:rPr>
        <w:t xml:space="preserve"> </w:t>
      </w:r>
    </w:p>
    <w:p w14:paraId="4E4F0590" w14:textId="39B563B0" w:rsidR="00103E57" w:rsidRDefault="00EE4BAD" w:rsidP="00E81515">
      <w:pPr>
        <w:pStyle w:val="ListParagraph"/>
        <w:numPr>
          <w:ilvl w:val="1"/>
          <w:numId w:val="12"/>
        </w:numPr>
        <w:autoSpaceDE w:val="0"/>
        <w:autoSpaceDN w:val="0"/>
        <w:adjustRightInd w:val="0"/>
        <w:spacing w:before="100" w:beforeAutospacing="1" w:after="100" w:afterAutospacing="1"/>
      </w:pPr>
      <w:r>
        <w:rPr>
          <w:rFonts w:cs="Arial"/>
          <w:noProof/>
        </w:rPr>
        <w:fldChar w:fldCharType="end"/>
      </w:r>
      <w:r w:rsidR="00103E57" w:rsidRPr="001724A0">
        <w:t xml:space="preserve">The Law Society - Anti-Money Laundering Guidance and Advice - </w:t>
      </w:r>
      <w:hyperlink r:id="rId14" w:history="1">
        <w:r w:rsidR="00103E57" w:rsidRPr="001724A0">
          <w:rPr>
            <w:rStyle w:val="Hyperlink"/>
            <w:color w:val="auto"/>
          </w:rPr>
          <w:t>http://www.lawsociety.org.uk/support-services/risk-compliance/anti-money-laundering/</w:t>
        </w:r>
      </w:hyperlink>
      <w:r w:rsidR="00103E57" w:rsidRPr="001724A0">
        <w:t xml:space="preserve"> </w:t>
      </w:r>
    </w:p>
    <w:p w14:paraId="4E4F0594" w14:textId="195FDF7A" w:rsidR="003666DE" w:rsidRPr="00AF62EC" w:rsidRDefault="00B378E9" w:rsidP="00E81515">
      <w:pPr>
        <w:pStyle w:val="ListParagraph"/>
        <w:numPr>
          <w:ilvl w:val="1"/>
          <w:numId w:val="12"/>
        </w:numPr>
        <w:autoSpaceDE w:val="0"/>
        <w:autoSpaceDN w:val="0"/>
        <w:adjustRightInd w:val="0"/>
        <w:spacing w:before="100" w:beforeAutospacing="1" w:after="100" w:afterAutospacing="1"/>
        <w:rPr>
          <w:rFonts w:cs="Arial"/>
        </w:rPr>
      </w:pPr>
      <w:r w:rsidRPr="00AF62EC">
        <w:rPr>
          <w:rFonts w:cs="Arial"/>
          <w:noProof/>
        </w:rPr>
        <w:lastRenderedPageBreak/>
        <w:t>HMRC -</w:t>
      </w:r>
      <w:r>
        <w:t xml:space="preserve"> </w:t>
      </w:r>
      <w:r w:rsidR="004B1CDF" w:rsidRPr="004B1CDF">
        <w:t>https://www.gov.uk/guidance/money-laundering-regulations-your-responsibilities</w:t>
      </w:r>
    </w:p>
    <w:p w14:paraId="4E4F0596" w14:textId="63C99F62" w:rsidR="009E2E14" w:rsidRPr="001724A0" w:rsidRDefault="009B5B70" w:rsidP="00AF62EC">
      <w:pPr>
        <w:pStyle w:val="Heading1"/>
      </w:pPr>
      <w:bookmarkStart w:id="87" w:name="_Toc532466662"/>
      <w:bookmarkStart w:id="88" w:name="_Toc345328187"/>
      <w:r>
        <w:rPr>
          <w:rFonts w:cs="Arial"/>
          <w:color w:val="auto"/>
        </w:rPr>
        <w:t>A</w:t>
      </w:r>
      <w:r w:rsidR="009E2E14" w:rsidRPr="001724A0">
        <w:rPr>
          <w:rFonts w:cs="Arial"/>
          <w:color w:val="auto"/>
        </w:rPr>
        <w:t>ppendix 1 –</w:t>
      </w:r>
      <w:bookmarkEnd w:id="87"/>
      <w:r w:rsidR="009E2E14" w:rsidRPr="001724A0">
        <w:rPr>
          <w:rFonts w:cs="Arial"/>
          <w:color w:val="auto"/>
        </w:rPr>
        <w:t xml:space="preserve"> </w:t>
      </w:r>
      <w:bookmarkEnd w:id="88"/>
    </w:p>
    <w:p w14:paraId="4E4F0598" w14:textId="710AFB82" w:rsidR="009E2E14" w:rsidRPr="001724A0" w:rsidRDefault="009E2E14" w:rsidP="00AF62EC">
      <w:pPr>
        <w:spacing w:before="100" w:beforeAutospacing="1" w:after="100" w:afterAutospacing="1"/>
        <w:jc w:val="center"/>
      </w:pPr>
      <w:r w:rsidRPr="001724A0">
        <w:rPr>
          <w:b/>
        </w:rPr>
        <w:t>Reporting Advice</w:t>
      </w:r>
    </w:p>
    <w:p w14:paraId="4E4F0599" w14:textId="7F5F9444" w:rsidR="009E2E14" w:rsidRPr="001724A0" w:rsidRDefault="00B03370" w:rsidP="00500503">
      <w:pPr>
        <w:spacing w:before="100" w:beforeAutospacing="1" w:after="100" w:afterAutospacing="1"/>
        <w:ind w:left="709"/>
      </w:pPr>
      <w:r w:rsidRPr="00B03370">
        <w:t xml:space="preserve">If you know or suspect money laundering activity, report it immediately to the MLRO using the form provided in Appendix </w:t>
      </w:r>
      <w:r w:rsidR="003C6AEB" w:rsidRPr="00B03370">
        <w:t>3.</w:t>
      </w:r>
      <w:r w:rsidR="009E2E14" w:rsidRPr="001724A0">
        <w:t xml:space="preserve"> The report must include as much detail as possible,</w:t>
      </w:r>
      <w:r w:rsidR="00BE73F8">
        <w:t xml:space="preserve"> ens</w:t>
      </w:r>
      <w:r w:rsidR="0025170B">
        <w:t>uring that all relevant information is disclosed, particularly if you need consent from the NCA to proceed with the transaction</w:t>
      </w:r>
      <w:r w:rsidR="00D0119A">
        <w:t>,</w:t>
      </w:r>
      <w:r w:rsidR="009E2E14" w:rsidRPr="001724A0">
        <w:t xml:space="preserve"> for example: </w:t>
      </w:r>
    </w:p>
    <w:p w14:paraId="4E4F059A" w14:textId="77777777" w:rsidR="009E2E14" w:rsidRPr="001724A0" w:rsidRDefault="009E2E14" w:rsidP="00E81515">
      <w:pPr>
        <w:pStyle w:val="ListParagraph"/>
        <w:numPr>
          <w:ilvl w:val="1"/>
          <w:numId w:val="12"/>
        </w:numPr>
        <w:autoSpaceDE w:val="0"/>
        <w:autoSpaceDN w:val="0"/>
        <w:adjustRightInd w:val="0"/>
        <w:spacing w:before="100" w:beforeAutospacing="1" w:after="100" w:afterAutospacing="1"/>
      </w:pPr>
      <w:r w:rsidRPr="001724A0">
        <w:t>Full details of the people involved (including yourself, if relevant), e.g. name, date of birth, address, company names, directorships, phone numbers, etc.</w:t>
      </w:r>
    </w:p>
    <w:p w14:paraId="4E4F059B" w14:textId="1E3E9581" w:rsidR="009E2E14" w:rsidRPr="001724A0" w:rsidRDefault="009E2E14" w:rsidP="00E81515">
      <w:pPr>
        <w:pStyle w:val="ListParagraph"/>
        <w:numPr>
          <w:ilvl w:val="1"/>
          <w:numId w:val="12"/>
        </w:numPr>
        <w:autoSpaceDE w:val="0"/>
        <w:autoSpaceDN w:val="0"/>
        <w:adjustRightInd w:val="0"/>
        <w:spacing w:before="100" w:beforeAutospacing="1" w:after="100" w:afterAutospacing="1"/>
      </w:pPr>
      <w:r w:rsidRPr="001724A0">
        <w:t xml:space="preserve">Full details of the nature of their/your involvement - - </w:t>
      </w:r>
      <w:r w:rsidR="00F34D60" w:rsidRPr="00F34D60">
        <w:t>If your involvement in the transaction could be illegal under the Proceeds of Crime Act (such as concealing or transferring criminal property), include details of the transaction and request permission from the MLRO before proceeding</w:t>
      </w:r>
      <w:r w:rsidR="00F34D60">
        <w:t xml:space="preserve">; </w:t>
      </w:r>
      <w:r w:rsidRPr="001724A0">
        <w:t xml:space="preserve">this is the case even if the client gives instructions for the matter to proceed before such consent is given. You should therefore make it clear in the report if such consent is required and clarify whether there are any deadlines for giving such consent e.g. a completion date or court </w:t>
      </w:r>
      <w:proofErr w:type="gramStart"/>
      <w:r w:rsidRPr="001724A0">
        <w:t>deadline</w:t>
      </w:r>
      <w:proofErr w:type="gramEnd"/>
    </w:p>
    <w:p w14:paraId="4E4F059C" w14:textId="77777777" w:rsidR="009E2E14" w:rsidRPr="001724A0" w:rsidRDefault="009E2E14" w:rsidP="00E81515">
      <w:pPr>
        <w:pStyle w:val="ListParagraph"/>
        <w:numPr>
          <w:ilvl w:val="1"/>
          <w:numId w:val="12"/>
        </w:numPr>
        <w:autoSpaceDE w:val="0"/>
        <w:autoSpaceDN w:val="0"/>
        <w:adjustRightInd w:val="0"/>
        <w:spacing w:before="100" w:beforeAutospacing="1" w:after="100" w:afterAutospacing="1"/>
      </w:pPr>
      <w:r w:rsidRPr="001724A0">
        <w:t xml:space="preserve">The types of money laundering activity involved - if possible, cite the section number(s) under which the report is being made e.g. a principal money laundering offence under section 327 – 329 of the Act, or general reporting requirement under section 330 of the Act, or </w:t>
      </w:r>
      <w:proofErr w:type="gramStart"/>
      <w:r w:rsidRPr="001724A0">
        <w:t>both</w:t>
      </w:r>
      <w:proofErr w:type="gramEnd"/>
    </w:p>
    <w:p w14:paraId="4E4F059D" w14:textId="77777777" w:rsidR="009E2E14" w:rsidRPr="001724A0" w:rsidRDefault="009E2E14" w:rsidP="00E81515">
      <w:pPr>
        <w:pStyle w:val="ListParagraph"/>
        <w:numPr>
          <w:ilvl w:val="1"/>
          <w:numId w:val="12"/>
        </w:numPr>
        <w:autoSpaceDE w:val="0"/>
        <w:autoSpaceDN w:val="0"/>
        <w:adjustRightInd w:val="0"/>
        <w:spacing w:before="100" w:beforeAutospacing="1" w:after="100" w:afterAutospacing="1"/>
      </w:pPr>
      <w:r w:rsidRPr="001724A0">
        <w:t xml:space="preserve">The dates of such activities, including whether the transactions have happened, are on-going or are </w:t>
      </w:r>
      <w:proofErr w:type="gramStart"/>
      <w:r w:rsidRPr="001724A0">
        <w:t>imminent</w:t>
      </w:r>
      <w:proofErr w:type="gramEnd"/>
    </w:p>
    <w:p w14:paraId="4E4F059E" w14:textId="77777777" w:rsidR="009E2E14" w:rsidRPr="001724A0" w:rsidRDefault="009E2E14" w:rsidP="00E81515">
      <w:pPr>
        <w:pStyle w:val="ListParagraph"/>
        <w:numPr>
          <w:ilvl w:val="1"/>
          <w:numId w:val="12"/>
        </w:numPr>
        <w:autoSpaceDE w:val="0"/>
        <w:autoSpaceDN w:val="0"/>
        <w:adjustRightInd w:val="0"/>
        <w:spacing w:before="100" w:beforeAutospacing="1" w:after="100" w:afterAutospacing="1"/>
      </w:pPr>
      <w:r w:rsidRPr="001724A0">
        <w:t>Where they took place</w:t>
      </w:r>
    </w:p>
    <w:p w14:paraId="4E4F059F" w14:textId="77777777" w:rsidR="009E2E14" w:rsidRPr="001724A0" w:rsidRDefault="009E2E14" w:rsidP="00E81515">
      <w:pPr>
        <w:pStyle w:val="ListParagraph"/>
        <w:numPr>
          <w:ilvl w:val="1"/>
          <w:numId w:val="12"/>
        </w:numPr>
        <w:autoSpaceDE w:val="0"/>
        <w:autoSpaceDN w:val="0"/>
        <w:adjustRightInd w:val="0"/>
        <w:spacing w:before="100" w:beforeAutospacing="1" w:after="100" w:afterAutospacing="1"/>
      </w:pPr>
      <w:r w:rsidRPr="001724A0">
        <w:t>How they were undertaken</w:t>
      </w:r>
    </w:p>
    <w:p w14:paraId="4E4F05A0" w14:textId="6D058ECB" w:rsidR="009E2E14" w:rsidRPr="001724A0" w:rsidRDefault="009E2E14" w:rsidP="00E81515">
      <w:pPr>
        <w:pStyle w:val="ListParagraph"/>
        <w:numPr>
          <w:ilvl w:val="1"/>
          <w:numId w:val="12"/>
        </w:numPr>
        <w:autoSpaceDE w:val="0"/>
        <w:autoSpaceDN w:val="0"/>
        <w:adjustRightInd w:val="0"/>
        <w:spacing w:before="100" w:beforeAutospacing="1" w:after="100" w:afterAutospacing="1"/>
      </w:pPr>
      <w:r w:rsidRPr="001724A0">
        <w:t xml:space="preserve">The (likely) amount of money/assets </w:t>
      </w:r>
      <w:proofErr w:type="gramStart"/>
      <w:r w:rsidR="003C6AEB" w:rsidRPr="001724A0">
        <w:t>involved</w:t>
      </w:r>
      <w:proofErr w:type="gramEnd"/>
    </w:p>
    <w:p w14:paraId="4E4F05A1" w14:textId="77777777" w:rsidR="009E2E14" w:rsidRPr="001724A0" w:rsidRDefault="009E2E14" w:rsidP="00E81515">
      <w:pPr>
        <w:pStyle w:val="ListParagraph"/>
        <w:numPr>
          <w:ilvl w:val="1"/>
          <w:numId w:val="12"/>
        </w:numPr>
        <w:autoSpaceDE w:val="0"/>
        <w:autoSpaceDN w:val="0"/>
        <w:adjustRightInd w:val="0"/>
        <w:spacing w:before="100" w:beforeAutospacing="1" w:after="100" w:afterAutospacing="1"/>
      </w:pPr>
      <w:r w:rsidRPr="001724A0">
        <w:t>Why, exactly, you are suspicious.</w:t>
      </w:r>
    </w:p>
    <w:p w14:paraId="4E4F05A2" w14:textId="77777777" w:rsidR="009E2E14" w:rsidRPr="001724A0" w:rsidRDefault="009E2E14" w:rsidP="00500503">
      <w:pPr>
        <w:spacing w:before="100" w:beforeAutospacing="1" w:after="100" w:afterAutospacing="1"/>
        <w:ind w:left="709"/>
      </w:pPr>
      <w:r w:rsidRPr="001724A0">
        <w:t>The MLRO will require full reasons along with any other available information to enable him to make a sound judgement as to whether there are reasonable grounds for knowledge or suspicion of money laundering and to enable him to prepare his report to the NCA, where appropriate. You should also enclose copies of any relevant supporting documentation.</w:t>
      </w:r>
    </w:p>
    <w:p w14:paraId="4E4F05A3" w14:textId="77777777" w:rsidR="009E2E14" w:rsidRPr="001724A0" w:rsidRDefault="009E2E14" w:rsidP="00500503">
      <w:pPr>
        <w:spacing w:before="100" w:beforeAutospacing="1" w:after="100" w:afterAutospacing="1"/>
        <w:ind w:left="709"/>
      </w:pPr>
      <w:r w:rsidRPr="001724A0">
        <w:t>Once you have reported the matter to the MLRO you must follow any directions he may give you. You must NOT make any further enquiries into the matter yourself; any necessary investigation will be undertaken by the NCA. Simply report your suspicions to the MLRO who will refer the matter on to the NCA if appropriate. All employees and contractors will be required to co-operate with the MLRO and the authorities during any subsequent money laundering investigation.</w:t>
      </w:r>
    </w:p>
    <w:p w14:paraId="4E4F05A5" w14:textId="4E901C20" w:rsidR="009E2E14" w:rsidRPr="001724A0" w:rsidRDefault="00DD51D9" w:rsidP="00500503">
      <w:pPr>
        <w:spacing w:before="100" w:beforeAutospacing="1" w:after="100" w:afterAutospacing="1"/>
        <w:ind w:left="709"/>
      </w:pPr>
      <w:r>
        <w:lastRenderedPageBreak/>
        <w:t xml:space="preserve">Do </w:t>
      </w:r>
      <w:r>
        <w:rPr>
          <w:rStyle w:val="Strong"/>
        </w:rPr>
        <w:t>not</w:t>
      </w:r>
      <w:r>
        <w:t xml:space="preserve"> under any circumstances inform the suspected individual(s) or make any reference on a customer record that a report has been made. Doing so may lead to criminal charges for ‘tipping off’.</w:t>
      </w:r>
      <w:r w:rsidR="00A60295">
        <w:t xml:space="preserve"> </w:t>
      </w:r>
      <w:r w:rsidR="009E2E14" w:rsidRPr="001724A0">
        <w:t>The MLRO will keep the appropriate records in a confidential manner.</w:t>
      </w:r>
    </w:p>
    <w:p w14:paraId="4E4F05A6" w14:textId="77777777" w:rsidR="009E2E14" w:rsidRPr="001724A0" w:rsidRDefault="009E2E14" w:rsidP="00500503">
      <w:pPr>
        <w:spacing w:before="100" w:beforeAutospacing="1" w:after="100" w:afterAutospacing="1"/>
        <w:ind w:left="709"/>
        <w:rPr>
          <w:b/>
        </w:rPr>
      </w:pPr>
      <w:r w:rsidRPr="001724A0">
        <w:rPr>
          <w:b/>
        </w:rPr>
        <w:t>Consideration of the Disclosure by the MLRO</w:t>
      </w:r>
    </w:p>
    <w:p w14:paraId="1E758B5D" w14:textId="34797435" w:rsidR="002A05A4" w:rsidRPr="002A05A4" w:rsidRDefault="002A05A4" w:rsidP="00E81515">
      <w:pPr>
        <w:pStyle w:val="ListParagraph"/>
        <w:numPr>
          <w:ilvl w:val="1"/>
          <w:numId w:val="23"/>
        </w:numPr>
        <w:spacing w:before="100" w:beforeAutospacing="1" w:after="100" w:afterAutospacing="1"/>
      </w:pPr>
      <w:r w:rsidRPr="002A05A4">
        <w:t>The MLRO will review and acknowledge the report upon receipt.</w:t>
      </w:r>
    </w:p>
    <w:p w14:paraId="1E702C4E" w14:textId="36BA130B" w:rsidR="002A05A4" w:rsidRPr="002A05A4" w:rsidRDefault="002A05A4" w:rsidP="00E81515">
      <w:pPr>
        <w:pStyle w:val="ListParagraph"/>
        <w:numPr>
          <w:ilvl w:val="1"/>
          <w:numId w:val="23"/>
        </w:numPr>
        <w:spacing w:before="100" w:beforeAutospacing="1" w:after="100" w:afterAutospacing="1"/>
      </w:pPr>
      <w:r w:rsidRPr="002A05A4">
        <w:t>Internal transaction history, relationships, and related information will be examined.</w:t>
      </w:r>
    </w:p>
    <w:p w14:paraId="506064AE" w14:textId="41945C98" w:rsidR="002A05A4" w:rsidRPr="002A05A4" w:rsidRDefault="002A05A4" w:rsidP="00E81515">
      <w:pPr>
        <w:pStyle w:val="ListParagraph"/>
        <w:numPr>
          <w:ilvl w:val="1"/>
          <w:numId w:val="23"/>
        </w:numPr>
        <w:spacing w:before="100" w:beforeAutospacing="1" w:after="100" w:afterAutospacing="1"/>
      </w:pPr>
      <w:r w:rsidRPr="002A05A4">
        <w:t>The MLRO may contact you for further clarification.</w:t>
      </w:r>
    </w:p>
    <w:p w14:paraId="1D0357D5" w14:textId="55E08C0A" w:rsidR="002A05A4" w:rsidRPr="002A05A4" w:rsidRDefault="002A05A4" w:rsidP="00E81515">
      <w:pPr>
        <w:pStyle w:val="ListParagraph"/>
        <w:numPr>
          <w:ilvl w:val="1"/>
          <w:numId w:val="23"/>
        </w:numPr>
        <w:spacing w:before="100" w:beforeAutospacing="1" w:after="100" w:afterAutospacing="1"/>
      </w:pPr>
      <w:r w:rsidRPr="002A05A4">
        <w:t>If appropriate, the MLRO will file a report with the NCA and seek consent for the transaction.</w:t>
      </w:r>
    </w:p>
    <w:p w14:paraId="244D3A15" w14:textId="28F95D93" w:rsidR="002A05A4" w:rsidRPr="002A05A4" w:rsidRDefault="002A05A4" w:rsidP="00E81515">
      <w:pPr>
        <w:pStyle w:val="ListParagraph"/>
        <w:numPr>
          <w:ilvl w:val="1"/>
          <w:numId w:val="23"/>
        </w:numPr>
        <w:spacing w:before="100" w:beforeAutospacing="1" w:after="100" w:afterAutospacing="1"/>
      </w:pPr>
      <w:r w:rsidRPr="002A05A4">
        <w:t>You will be informed of any required actions or restrictions once the NCA has been contacted.</w:t>
      </w:r>
    </w:p>
    <w:p w14:paraId="1452C9CA" w14:textId="74663BCC" w:rsidR="002A05A4" w:rsidRPr="001724A0" w:rsidRDefault="002A05A4" w:rsidP="00E81515">
      <w:pPr>
        <w:pStyle w:val="ListParagraph"/>
        <w:numPr>
          <w:ilvl w:val="1"/>
          <w:numId w:val="23"/>
        </w:numPr>
        <w:spacing w:before="100" w:beforeAutospacing="1" w:after="100" w:afterAutospacing="1"/>
      </w:pPr>
      <w:r w:rsidRPr="002A05A4">
        <w:t>The MLRO will retain all reports and documents confidentially for a minimum of five years.</w:t>
      </w:r>
    </w:p>
    <w:p w14:paraId="4E4F05AF" w14:textId="1F6CA32A" w:rsidR="009E2E14" w:rsidRPr="001724A0" w:rsidRDefault="009E2E14" w:rsidP="00500503">
      <w:pPr>
        <w:spacing w:before="100" w:beforeAutospacing="1" w:after="100" w:afterAutospacing="1"/>
        <w:ind w:left="709"/>
      </w:pPr>
      <w:r w:rsidRPr="001724A0">
        <w:t xml:space="preserve">Once the MLRO has evaluated the disclosure report and any other relevant information, he must make a timely determination as to whether: </w:t>
      </w:r>
    </w:p>
    <w:p w14:paraId="4E4F05B0" w14:textId="77777777" w:rsidR="009E2E14" w:rsidRPr="001724A0" w:rsidRDefault="009E2E14" w:rsidP="00E81515">
      <w:pPr>
        <w:pStyle w:val="ListParagraph"/>
        <w:numPr>
          <w:ilvl w:val="1"/>
          <w:numId w:val="12"/>
        </w:numPr>
        <w:autoSpaceDE w:val="0"/>
        <w:autoSpaceDN w:val="0"/>
        <w:adjustRightInd w:val="0"/>
        <w:spacing w:before="100" w:beforeAutospacing="1" w:after="100" w:afterAutospacing="1"/>
        <w:ind w:left="709"/>
      </w:pPr>
      <w:r w:rsidRPr="001724A0">
        <w:t xml:space="preserve">There is actual or suspected money laundering taking place; or </w:t>
      </w:r>
    </w:p>
    <w:p w14:paraId="4E4F05B1" w14:textId="77777777" w:rsidR="009E2E14" w:rsidRPr="001724A0" w:rsidRDefault="009E2E14" w:rsidP="00E81515">
      <w:pPr>
        <w:pStyle w:val="ListParagraph"/>
        <w:numPr>
          <w:ilvl w:val="1"/>
          <w:numId w:val="12"/>
        </w:numPr>
        <w:autoSpaceDE w:val="0"/>
        <w:autoSpaceDN w:val="0"/>
        <w:adjustRightInd w:val="0"/>
        <w:spacing w:before="100" w:beforeAutospacing="1" w:after="100" w:afterAutospacing="1"/>
        <w:ind w:left="709"/>
      </w:pPr>
      <w:r w:rsidRPr="001724A0">
        <w:t xml:space="preserve">There are reasonable grounds to know or suspect that is the case; and </w:t>
      </w:r>
    </w:p>
    <w:p w14:paraId="4E4F05B2" w14:textId="77777777" w:rsidR="009E2E14" w:rsidRPr="001724A0" w:rsidRDefault="009E2E14" w:rsidP="00E81515">
      <w:pPr>
        <w:pStyle w:val="ListParagraph"/>
        <w:numPr>
          <w:ilvl w:val="1"/>
          <w:numId w:val="12"/>
        </w:numPr>
        <w:autoSpaceDE w:val="0"/>
        <w:autoSpaceDN w:val="0"/>
        <w:adjustRightInd w:val="0"/>
        <w:spacing w:before="100" w:beforeAutospacing="1" w:after="100" w:afterAutospacing="1"/>
        <w:ind w:left="709"/>
      </w:pPr>
      <w:r w:rsidRPr="001724A0">
        <w:t>Whether he needs to seek consent from the NCA for a particular transaction to proceed.</w:t>
      </w:r>
    </w:p>
    <w:p w14:paraId="4E4F05B3" w14:textId="77777777" w:rsidR="009E2E14" w:rsidRPr="001724A0" w:rsidRDefault="009E2E14" w:rsidP="00500503">
      <w:pPr>
        <w:spacing w:before="100" w:beforeAutospacing="1" w:after="100" w:afterAutospacing="1"/>
        <w:ind w:left="709"/>
      </w:pPr>
      <w:r w:rsidRPr="001724A0">
        <w:t xml:space="preserve">Where the MLRO does so conclude, then he must disclose the matter as soon as practicable to the NCA on their standard report form and in the prescribed manner, unless he has a reasonable excuse for non-disclosure to the NCA (for example, if you are a lawyer and you wish to claim legal professional privilege for not disclosing the information). </w:t>
      </w:r>
    </w:p>
    <w:p w14:paraId="4E4F05B5" w14:textId="65A9375F" w:rsidR="009E2E14" w:rsidRPr="001724A0" w:rsidRDefault="009E2E14" w:rsidP="00AF62EC">
      <w:pPr>
        <w:spacing w:before="100" w:beforeAutospacing="1" w:after="100" w:afterAutospacing="1"/>
        <w:ind w:left="709"/>
      </w:pPr>
      <w:r w:rsidRPr="001724A0">
        <w:t xml:space="preserve">Where the MLRO suspects money laundering but has a reasonable excuse for nondisclosure, then he must note the </w:t>
      </w:r>
      <w:proofErr w:type="gramStart"/>
      <w:r w:rsidRPr="001724A0">
        <w:t>report accordingly;</w:t>
      </w:r>
      <w:proofErr w:type="gramEnd"/>
      <w:r w:rsidRPr="001724A0">
        <w:t xml:space="preserve"> he can then immediately give his consent for any ongoing or imminent transactions to proceed. </w:t>
      </w:r>
    </w:p>
    <w:p w14:paraId="4E4F05B6" w14:textId="77777777" w:rsidR="009E2E14" w:rsidRPr="001724A0" w:rsidRDefault="00500503" w:rsidP="00500503">
      <w:pPr>
        <w:spacing w:before="100" w:beforeAutospacing="1" w:after="100" w:afterAutospacing="1"/>
        <w:ind w:left="709" w:hanging="709"/>
      </w:pPr>
      <w:r>
        <w:tab/>
      </w:r>
      <w:r w:rsidR="009E2E14" w:rsidRPr="001724A0">
        <w:t xml:space="preserve">In cases where legal professional privilege may apply, the MLRO must liaise with the legal adviser to decide whether there is a reasonable excuse for not reporting the matter to the NCA. </w:t>
      </w:r>
    </w:p>
    <w:p w14:paraId="4E4F05B7" w14:textId="77777777" w:rsidR="009E2E14" w:rsidRPr="001724A0" w:rsidRDefault="00500503" w:rsidP="00500503">
      <w:pPr>
        <w:spacing w:before="100" w:beforeAutospacing="1" w:after="100" w:afterAutospacing="1"/>
        <w:ind w:left="709" w:hanging="709"/>
      </w:pPr>
      <w:r>
        <w:tab/>
      </w:r>
      <w:r w:rsidR="009E2E14" w:rsidRPr="001724A0">
        <w:t xml:space="preserve">Where consent is required from the NCA for a transaction to proceed, then the transaction(s) in question must not be undertaken or completed until the NCA has specifically given consent, or there is deemed consent through the expiration of the relevant time limits without objection from the NCA. </w:t>
      </w:r>
    </w:p>
    <w:p w14:paraId="4E4F05B8" w14:textId="77777777" w:rsidR="009E2E14" w:rsidRPr="001724A0" w:rsidRDefault="00500503" w:rsidP="00500503">
      <w:pPr>
        <w:spacing w:before="100" w:beforeAutospacing="1" w:after="100" w:afterAutospacing="1"/>
        <w:ind w:left="709" w:hanging="709"/>
      </w:pPr>
      <w:r>
        <w:tab/>
      </w:r>
      <w:r w:rsidR="009E2E14" w:rsidRPr="001724A0">
        <w:t xml:space="preserve">Where the MLRO concludes that there are no reasonable grounds to suspect money laundering then he shall mark the report accordingly and give his consent for any ongoing or imminent transaction(s) to proceed. </w:t>
      </w:r>
    </w:p>
    <w:p w14:paraId="4E4F05B9" w14:textId="77777777" w:rsidR="009E2E14" w:rsidRPr="001724A0" w:rsidRDefault="00500503" w:rsidP="00500503">
      <w:pPr>
        <w:spacing w:before="100" w:beforeAutospacing="1" w:after="100" w:afterAutospacing="1"/>
        <w:ind w:left="709" w:hanging="709"/>
      </w:pPr>
      <w:r>
        <w:lastRenderedPageBreak/>
        <w:tab/>
      </w:r>
      <w:r w:rsidR="009E2E14" w:rsidRPr="001724A0">
        <w:t>All disclosure reports referred to the MLRO and reports made by him to the NCA must be retained by the MLRO in a confidential file kept for that purpose, for a minimum of five years.</w:t>
      </w:r>
    </w:p>
    <w:p w14:paraId="4E4F05BA" w14:textId="77777777" w:rsidR="009E2E14" w:rsidRPr="001724A0" w:rsidRDefault="00500503" w:rsidP="00500503">
      <w:pPr>
        <w:spacing w:before="100" w:beforeAutospacing="1" w:after="100" w:afterAutospacing="1"/>
        <w:ind w:left="709" w:hanging="709"/>
      </w:pPr>
      <w:r>
        <w:tab/>
      </w:r>
      <w:r w:rsidR="009E2E14" w:rsidRPr="001724A0">
        <w:t xml:space="preserve">The MLRO commits a criminal offence if he knows or suspects, or has reasonable grounds to do so, through a disclosure being made to him, that another person is engaged in money </w:t>
      </w:r>
      <w:proofErr w:type="gramStart"/>
      <w:r w:rsidR="009E2E14" w:rsidRPr="001724A0">
        <w:t>laundering</w:t>
      </w:r>
      <w:proofErr w:type="gramEnd"/>
      <w:r w:rsidR="009E2E14" w:rsidRPr="001724A0">
        <w:t xml:space="preserve"> and he does not disclose this as soon as practicable to the NCA. </w:t>
      </w:r>
    </w:p>
    <w:p w14:paraId="4E4F05BB" w14:textId="6B0FA989" w:rsidR="009E2E14" w:rsidRPr="001724A0" w:rsidRDefault="00500503" w:rsidP="00500503">
      <w:pPr>
        <w:spacing w:before="100" w:beforeAutospacing="1" w:after="100" w:afterAutospacing="1"/>
        <w:ind w:left="709" w:hanging="709"/>
      </w:pPr>
      <w:r>
        <w:rPr>
          <w:b/>
        </w:rPr>
        <w:tab/>
      </w:r>
      <w:r w:rsidR="009E2E14" w:rsidRPr="001724A0">
        <w:rPr>
          <w:b/>
        </w:rPr>
        <w:t>Further information on how to make a report to the NCA is available from</w:t>
      </w:r>
      <w:r w:rsidR="009E2E14" w:rsidRPr="001724A0">
        <w:t xml:space="preserve"> </w:t>
      </w:r>
      <w:hyperlink r:id="rId15" w:history="1">
        <w:r w:rsidR="004B3FC8" w:rsidRPr="001B24A8">
          <w:rPr>
            <w:rStyle w:val="Hyperlink"/>
            <w:rFonts w:cs="Times New Roman"/>
            <w:noProof w:val="0"/>
          </w:rPr>
          <w:t>https://www.nationalcrimeagency.gov.uk/what-we-do/crime-threats/money-laundering-and-illicit-finance/suspicious-activity-reports</w:t>
        </w:r>
      </w:hyperlink>
      <w:r w:rsidR="004B3FC8">
        <w:t xml:space="preserve"> </w:t>
      </w:r>
    </w:p>
    <w:p w14:paraId="4E4F05BC" w14:textId="77777777" w:rsidR="009E2E14" w:rsidRPr="001724A0" w:rsidRDefault="00500503" w:rsidP="00500503">
      <w:pPr>
        <w:spacing w:before="100" w:beforeAutospacing="1" w:after="100" w:afterAutospacing="1"/>
        <w:ind w:left="709" w:hanging="709"/>
        <w:rPr>
          <w:b/>
        </w:rPr>
      </w:pPr>
      <w:r>
        <w:rPr>
          <w:b/>
        </w:rPr>
        <w:tab/>
      </w:r>
      <w:r w:rsidR="009E2E14" w:rsidRPr="001724A0">
        <w:rPr>
          <w:b/>
        </w:rPr>
        <w:t>Client Identification Procedures</w:t>
      </w:r>
    </w:p>
    <w:p w14:paraId="4E4F05BD" w14:textId="77777777" w:rsidR="009E2E14" w:rsidRPr="001724A0" w:rsidRDefault="00500503" w:rsidP="00500503">
      <w:pPr>
        <w:spacing w:before="100" w:beforeAutospacing="1" w:after="100" w:afterAutospacing="1"/>
        <w:ind w:left="709" w:hanging="709"/>
      </w:pPr>
      <w:r>
        <w:tab/>
      </w:r>
      <w:r w:rsidR="009E2E14" w:rsidRPr="001724A0">
        <w:t xml:space="preserve">It would be impossible for OCC to identify </w:t>
      </w:r>
      <w:proofErr w:type="gramStart"/>
      <w:r w:rsidR="009E2E14" w:rsidRPr="001724A0">
        <w:t>all of</w:t>
      </w:r>
      <w:proofErr w:type="gramEnd"/>
      <w:r w:rsidR="009E2E14" w:rsidRPr="001724A0">
        <w:t xml:space="preserve"> the people with whom it has business dealings. However, it is important for OCC to identify individuals and organisations where there may be a higher risk of receiving the proceeds of crime. For example, where OCC:</w:t>
      </w:r>
    </w:p>
    <w:p w14:paraId="4E4F05BE" w14:textId="77777777" w:rsidR="009E2E14" w:rsidRPr="001724A0" w:rsidRDefault="009E2E14" w:rsidP="00E81515">
      <w:pPr>
        <w:pStyle w:val="ListParagraph"/>
        <w:numPr>
          <w:ilvl w:val="1"/>
          <w:numId w:val="12"/>
        </w:numPr>
        <w:autoSpaceDE w:val="0"/>
        <w:autoSpaceDN w:val="0"/>
        <w:adjustRightInd w:val="0"/>
        <w:spacing w:before="100" w:beforeAutospacing="1" w:after="100" w:afterAutospacing="1"/>
        <w:ind w:left="993" w:hanging="284"/>
      </w:pPr>
      <w:r w:rsidRPr="001724A0">
        <w:t xml:space="preserve">Forms an ongoing business relationship with an individual/business; or </w:t>
      </w:r>
    </w:p>
    <w:p w14:paraId="4E4F05BF" w14:textId="77777777" w:rsidR="009E2E14" w:rsidRPr="001724A0" w:rsidRDefault="009E2E14" w:rsidP="00E81515">
      <w:pPr>
        <w:pStyle w:val="ListParagraph"/>
        <w:numPr>
          <w:ilvl w:val="1"/>
          <w:numId w:val="12"/>
        </w:numPr>
        <w:autoSpaceDE w:val="0"/>
        <w:autoSpaceDN w:val="0"/>
        <w:adjustRightInd w:val="0"/>
        <w:spacing w:before="100" w:beforeAutospacing="1" w:after="100" w:afterAutospacing="1"/>
        <w:ind w:left="993" w:hanging="284"/>
      </w:pPr>
      <w:r w:rsidRPr="001724A0">
        <w:t xml:space="preserve">Undertakes a one-off transaction involving payment by or to the individual/business of approximately £10,000 or more; or </w:t>
      </w:r>
    </w:p>
    <w:p w14:paraId="4E4F05C0" w14:textId="77777777" w:rsidR="009E2E14" w:rsidRPr="001724A0" w:rsidRDefault="009E2E14" w:rsidP="00E81515">
      <w:pPr>
        <w:pStyle w:val="ListParagraph"/>
        <w:numPr>
          <w:ilvl w:val="1"/>
          <w:numId w:val="12"/>
        </w:numPr>
        <w:autoSpaceDE w:val="0"/>
        <w:autoSpaceDN w:val="0"/>
        <w:adjustRightInd w:val="0"/>
        <w:spacing w:before="100" w:beforeAutospacing="1" w:after="100" w:afterAutospacing="1"/>
        <w:ind w:left="993" w:hanging="284"/>
      </w:pPr>
      <w:r w:rsidRPr="001724A0">
        <w:t>Undertakes a series of linked one-off transactions involving total payment by or to the individual/business of £10,000 or more; or</w:t>
      </w:r>
    </w:p>
    <w:p w14:paraId="4E4F05C1" w14:textId="77777777" w:rsidR="009E2E14" w:rsidRPr="001724A0" w:rsidRDefault="009E2E14" w:rsidP="00E81515">
      <w:pPr>
        <w:pStyle w:val="ListParagraph"/>
        <w:numPr>
          <w:ilvl w:val="1"/>
          <w:numId w:val="12"/>
        </w:numPr>
        <w:autoSpaceDE w:val="0"/>
        <w:autoSpaceDN w:val="0"/>
        <w:adjustRightInd w:val="0"/>
        <w:spacing w:before="100" w:beforeAutospacing="1" w:after="100" w:afterAutospacing="1"/>
        <w:ind w:left="993" w:hanging="284"/>
      </w:pPr>
      <w:r w:rsidRPr="001724A0">
        <w:t xml:space="preserve">It is known or suspected that a one-off transaction (or a series of them) involves money laundering. </w:t>
      </w:r>
    </w:p>
    <w:p w14:paraId="4E4F05C2" w14:textId="77777777" w:rsidR="009E2E14" w:rsidRPr="001724A0" w:rsidRDefault="00500503" w:rsidP="00500503">
      <w:pPr>
        <w:spacing w:before="100" w:beforeAutospacing="1" w:after="100" w:afterAutospacing="1"/>
        <w:ind w:left="709" w:hanging="709"/>
      </w:pPr>
      <w:r>
        <w:tab/>
      </w:r>
      <w:r w:rsidR="009E2E14" w:rsidRPr="001724A0">
        <w:t xml:space="preserve">In the above circumstances, staff must obtain satisfactory evidence of the identity of the prospective customer/business prior to any relationship being </w:t>
      </w:r>
      <w:proofErr w:type="gramStart"/>
      <w:r w:rsidR="009E2E14" w:rsidRPr="001724A0">
        <w:t>entered into</w:t>
      </w:r>
      <w:proofErr w:type="gramEnd"/>
      <w:r w:rsidR="009E2E14" w:rsidRPr="001724A0">
        <w:t xml:space="preserve">. </w:t>
      </w:r>
    </w:p>
    <w:p w14:paraId="4E4F05C4" w14:textId="77777777" w:rsidR="009E2E14" w:rsidRPr="001724A0" w:rsidRDefault="009E2E14" w:rsidP="00E81515">
      <w:pPr>
        <w:pStyle w:val="ListParagraph"/>
        <w:numPr>
          <w:ilvl w:val="1"/>
          <w:numId w:val="12"/>
        </w:numPr>
        <w:autoSpaceDE w:val="0"/>
        <w:autoSpaceDN w:val="0"/>
        <w:adjustRightInd w:val="0"/>
        <w:spacing w:before="100" w:beforeAutospacing="1" w:after="100" w:afterAutospacing="1"/>
      </w:pPr>
      <w:r w:rsidRPr="001724A0">
        <w:t xml:space="preserve">In all matters, a </w:t>
      </w:r>
      <w:proofErr w:type="gramStart"/>
      <w:r w:rsidRPr="001724A0">
        <w:t>risk based</w:t>
      </w:r>
      <w:proofErr w:type="gramEnd"/>
      <w:r w:rsidRPr="001724A0">
        <w:t xml:space="preserve"> approach should be taken. If you are unsure of the evidence required advice can be sought from the </w:t>
      </w:r>
      <w:r w:rsidR="00500503">
        <w:t xml:space="preserve">Council’s </w:t>
      </w:r>
      <w:r w:rsidRPr="001724A0">
        <w:t>Corporate Fraud Investiga</w:t>
      </w:r>
      <w:r w:rsidR="00500503">
        <w:t>tion Team.</w:t>
      </w:r>
    </w:p>
    <w:p w14:paraId="4E4F05C5" w14:textId="77777777" w:rsidR="009E2E14" w:rsidRPr="001724A0" w:rsidRDefault="009E2E14" w:rsidP="00500503">
      <w:pPr>
        <w:spacing w:before="100" w:beforeAutospacing="1" w:after="100" w:afterAutospacing="1"/>
        <w:ind w:left="709"/>
      </w:pPr>
      <w:r w:rsidRPr="001724A0">
        <w:t xml:space="preserve">For individuals, appropriate identification documents would be an original current passport or driving licence with a photograph together with correspondence from a recognised government department or utility provider showing the individual’s name and postal address and which is no more than three months old. ID Scanners can be used to validate any identification documents that are presented. Scanners </w:t>
      </w:r>
      <w:proofErr w:type="gramStart"/>
      <w:r w:rsidRPr="001724A0">
        <w:t>are located in</w:t>
      </w:r>
      <w:proofErr w:type="gramEnd"/>
      <w:r w:rsidRPr="001724A0">
        <w:t xml:space="preserve"> St </w:t>
      </w:r>
      <w:proofErr w:type="spellStart"/>
      <w:r w:rsidRPr="001724A0">
        <w:t>Aldate’s</w:t>
      </w:r>
      <w:proofErr w:type="spellEnd"/>
      <w:r w:rsidRPr="001724A0">
        <w:t xml:space="preserve"> Chambers Customer Service Centre Reception and with the Corporate Investigation Team at Oxford City Council.</w:t>
      </w:r>
    </w:p>
    <w:p w14:paraId="4E4F05C6" w14:textId="77777777" w:rsidR="009E2E14" w:rsidRPr="001724A0" w:rsidRDefault="009E2E14" w:rsidP="00500503">
      <w:pPr>
        <w:spacing w:before="100" w:beforeAutospacing="1" w:after="100" w:afterAutospacing="1"/>
        <w:ind w:left="709"/>
      </w:pPr>
      <w:r w:rsidRPr="001724A0">
        <w:t>For businesses, personal identification should be obtained for the representatives of the business together with proof of their authority to act on behalf of the business. In addition:</w:t>
      </w:r>
    </w:p>
    <w:p w14:paraId="4E4F05C7" w14:textId="77777777" w:rsidR="009E2E14" w:rsidRPr="001724A0" w:rsidRDefault="009E2E14" w:rsidP="00500503">
      <w:pPr>
        <w:spacing w:before="100" w:beforeAutospacing="1" w:after="100" w:afterAutospacing="1"/>
        <w:ind w:left="709"/>
      </w:pPr>
      <w:r w:rsidRPr="001724A0">
        <w:lastRenderedPageBreak/>
        <w:t>For companies, checks should be made with a reputable online source to confirm:</w:t>
      </w:r>
    </w:p>
    <w:p w14:paraId="4E4F05C8" w14:textId="77777777" w:rsidR="009E2E14" w:rsidRPr="001724A0" w:rsidRDefault="009E2E14" w:rsidP="00E81515">
      <w:pPr>
        <w:pStyle w:val="ListParagraph"/>
        <w:numPr>
          <w:ilvl w:val="1"/>
          <w:numId w:val="12"/>
        </w:numPr>
        <w:autoSpaceDE w:val="0"/>
        <w:autoSpaceDN w:val="0"/>
        <w:adjustRightInd w:val="0"/>
        <w:spacing w:before="100" w:beforeAutospacing="1" w:after="100" w:afterAutospacing="1"/>
        <w:ind w:left="993" w:hanging="284"/>
      </w:pPr>
      <w:r w:rsidRPr="001724A0">
        <w:t xml:space="preserve">That the company is trading and has a legitimate trading </w:t>
      </w:r>
      <w:proofErr w:type="gramStart"/>
      <w:r w:rsidRPr="001724A0">
        <w:t>purpose;</w:t>
      </w:r>
      <w:proofErr w:type="gramEnd"/>
    </w:p>
    <w:p w14:paraId="4E4F05C9" w14:textId="77777777" w:rsidR="009E2E14" w:rsidRPr="001724A0" w:rsidRDefault="009E2E14" w:rsidP="00E81515">
      <w:pPr>
        <w:pStyle w:val="ListParagraph"/>
        <w:numPr>
          <w:ilvl w:val="1"/>
          <w:numId w:val="12"/>
        </w:numPr>
        <w:autoSpaceDE w:val="0"/>
        <w:autoSpaceDN w:val="0"/>
        <w:adjustRightInd w:val="0"/>
        <w:spacing w:before="100" w:beforeAutospacing="1" w:after="100" w:afterAutospacing="1"/>
        <w:ind w:left="993" w:hanging="284"/>
      </w:pPr>
      <w:r w:rsidRPr="001724A0">
        <w:t xml:space="preserve">Who the company directors </w:t>
      </w:r>
      <w:proofErr w:type="gramStart"/>
      <w:r w:rsidRPr="001724A0">
        <w:t>are;</w:t>
      </w:r>
      <w:proofErr w:type="gramEnd"/>
    </w:p>
    <w:p w14:paraId="4E4F05CA" w14:textId="77777777" w:rsidR="009E2E14" w:rsidRPr="001724A0" w:rsidRDefault="009E2E14" w:rsidP="00E81515">
      <w:pPr>
        <w:pStyle w:val="ListParagraph"/>
        <w:numPr>
          <w:ilvl w:val="1"/>
          <w:numId w:val="12"/>
        </w:numPr>
        <w:autoSpaceDE w:val="0"/>
        <w:autoSpaceDN w:val="0"/>
        <w:adjustRightInd w:val="0"/>
        <w:spacing w:before="100" w:beforeAutospacing="1" w:after="100" w:afterAutospacing="1"/>
        <w:ind w:left="993" w:hanging="284"/>
      </w:pPr>
      <w:r w:rsidRPr="001724A0">
        <w:t xml:space="preserve">Who the company shareholders </w:t>
      </w:r>
      <w:proofErr w:type="gramStart"/>
      <w:r w:rsidRPr="001724A0">
        <w:t>are;</w:t>
      </w:r>
      <w:proofErr w:type="gramEnd"/>
    </w:p>
    <w:p w14:paraId="4E4F05CB" w14:textId="77777777" w:rsidR="009E2E14" w:rsidRPr="001724A0" w:rsidRDefault="009E2E14" w:rsidP="00E81515">
      <w:pPr>
        <w:pStyle w:val="ListParagraph"/>
        <w:numPr>
          <w:ilvl w:val="1"/>
          <w:numId w:val="12"/>
        </w:numPr>
        <w:autoSpaceDE w:val="0"/>
        <w:autoSpaceDN w:val="0"/>
        <w:adjustRightInd w:val="0"/>
        <w:spacing w:before="100" w:beforeAutospacing="1" w:after="100" w:afterAutospacing="1"/>
        <w:ind w:left="993" w:hanging="284"/>
      </w:pPr>
      <w:r w:rsidRPr="001724A0">
        <w:t>Who ultimately owns or controls more than 25% of the shares or voting rights; and</w:t>
      </w:r>
    </w:p>
    <w:p w14:paraId="4E4F05CC" w14:textId="77777777" w:rsidR="009E2E14" w:rsidRPr="001724A0" w:rsidRDefault="009E2E14" w:rsidP="00E81515">
      <w:pPr>
        <w:pStyle w:val="ListParagraph"/>
        <w:numPr>
          <w:ilvl w:val="1"/>
          <w:numId w:val="12"/>
        </w:numPr>
        <w:autoSpaceDE w:val="0"/>
        <w:autoSpaceDN w:val="0"/>
        <w:adjustRightInd w:val="0"/>
        <w:spacing w:before="100" w:beforeAutospacing="1" w:after="100" w:afterAutospacing="1"/>
        <w:ind w:left="993" w:hanging="284"/>
      </w:pPr>
      <w:r w:rsidRPr="001724A0">
        <w:t>Who otherwise exercises control over the management of the company.</w:t>
      </w:r>
    </w:p>
    <w:p w14:paraId="4E4F05CD" w14:textId="77777777" w:rsidR="009E2E14" w:rsidRPr="001724A0" w:rsidRDefault="00500503" w:rsidP="009E2E14">
      <w:pPr>
        <w:spacing w:before="100" w:beforeAutospacing="1" w:after="100" w:afterAutospacing="1"/>
      </w:pPr>
      <w:r>
        <w:tab/>
      </w:r>
      <w:r w:rsidR="009E2E14" w:rsidRPr="001724A0">
        <w:t>For charities, a check should be made with the Charities Commission to:</w:t>
      </w:r>
    </w:p>
    <w:p w14:paraId="4E4F05CE" w14:textId="77777777" w:rsidR="009E2E14" w:rsidRPr="001724A0" w:rsidRDefault="009E2E14" w:rsidP="00E81515">
      <w:pPr>
        <w:pStyle w:val="ListParagraph"/>
        <w:numPr>
          <w:ilvl w:val="1"/>
          <w:numId w:val="12"/>
        </w:numPr>
        <w:autoSpaceDE w:val="0"/>
        <w:autoSpaceDN w:val="0"/>
        <w:adjustRightInd w:val="0"/>
        <w:spacing w:before="100" w:beforeAutospacing="1" w:after="100" w:afterAutospacing="1"/>
        <w:ind w:left="993" w:hanging="284"/>
      </w:pPr>
      <w:r w:rsidRPr="001724A0">
        <w:t xml:space="preserve">Check the charity is registered with the Charities </w:t>
      </w:r>
      <w:proofErr w:type="gramStart"/>
      <w:r w:rsidRPr="001724A0">
        <w:t>Commission;</w:t>
      </w:r>
      <w:proofErr w:type="gramEnd"/>
    </w:p>
    <w:p w14:paraId="4E4F05CF" w14:textId="77777777" w:rsidR="009E2E14" w:rsidRPr="001724A0" w:rsidRDefault="009E2E14" w:rsidP="00E81515">
      <w:pPr>
        <w:pStyle w:val="ListParagraph"/>
        <w:numPr>
          <w:ilvl w:val="1"/>
          <w:numId w:val="12"/>
        </w:numPr>
        <w:autoSpaceDE w:val="0"/>
        <w:autoSpaceDN w:val="0"/>
        <w:adjustRightInd w:val="0"/>
        <w:spacing w:before="100" w:beforeAutospacing="1" w:after="100" w:afterAutospacing="1"/>
        <w:ind w:left="993" w:hanging="284"/>
      </w:pPr>
      <w:r w:rsidRPr="001724A0">
        <w:t xml:space="preserve">Check the correspondence </w:t>
      </w:r>
      <w:proofErr w:type="gramStart"/>
      <w:r w:rsidRPr="001724A0">
        <w:t>address;</w:t>
      </w:r>
      <w:proofErr w:type="gramEnd"/>
    </w:p>
    <w:p w14:paraId="4E4F05D0" w14:textId="77777777" w:rsidR="009E2E14" w:rsidRPr="001724A0" w:rsidRDefault="009E2E14" w:rsidP="00E81515">
      <w:pPr>
        <w:pStyle w:val="ListParagraph"/>
        <w:numPr>
          <w:ilvl w:val="1"/>
          <w:numId w:val="12"/>
        </w:numPr>
        <w:autoSpaceDE w:val="0"/>
        <w:autoSpaceDN w:val="0"/>
        <w:adjustRightInd w:val="0"/>
        <w:spacing w:before="100" w:beforeAutospacing="1" w:after="100" w:afterAutospacing="1"/>
        <w:ind w:left="993" w:hanging="284"/>
      </w:pPr>
      <w:r w:rsidRPr="001724A0">
        <w:t>Check the identity of any signatories; and</w:t>
      </w:r>
    </w:p>
    <w:p w14:paraId="4E4F05D1" w14:textId="77777777" w:rsidR="009E2E14" w:rsidRPr="001724A0" w:rsidRDefault="009E2E14" w:rsidP="00E81515">
      <w:pPr>
        <w:pStyle w:val="ListParagraph"/>
        <w:numPr>
          <w:ilvl w:val="1"/>
          <w:numId w:val="12"/>
        </w:numPr>
        <w:autoSpaceDE w:val="0"/>
        <w:autoSpaceDN w:val="0"/>
        <w:adjustRightInd w:val="0"/>
        <w:spacing w:before="100" w:beforeAutospacing="1" w:after="100" w:afterAutospacing="1"/>
        <w:ind w:left="993" w:hanging="284"/>
      </w:pPr>
      <w:r w:rsidRPr="001724A0">
        <w:t xml:space="preserve">Verify the purpose of the charity and its address (if different from the correspondence address). </w:t>
      </w:r>
    </w:p>
    <w:p w14:paraId="4E4F05D2" w14:textId="77777777" w:rsidR="009E2E14" w:rsidRPr="001724A0" w:rsidRDefault="00500503" w:rsidP="009E2E14">
      <w:pPr>
        <w:spacing w:before="100" w:beforeAutospacing="1" w:after="100" w:afterAutospacing="1"/>
      </w:pPr>
      <w:r>
        <w:tab/>
      </w:r>
      <w:r w:rsidR="009E2E14" w:rsidRPr="001724A0">
        <w:t>For partnerships or unincorporated businesses confirm:</w:t>
      </w:r>
    </w:p>
    <w:p w14:paraId="4E4F05D3" w14:textId="77777777" w:rsidR="009E2E14" w:rsidRPr="001724A0" w:rsidRDefault="009E2E14" w:rsidP="00E81515">
      <w:pPr>
        <w:pStyle w:val="ListParagraph"/>
        <w:numPr>
          <w:ilvl w:val="1"/>
          <w:numId w:val="12"/>
        </w:numPr>
        <w:autoSpaceDE w:val="0"/>
        <w:autoSpaceDN w:val="0"/>
        <w:adjustRightInd w:val="0"/>
        <w:spacing w:before="100" w:beforeAutospacing="1" w:after="100" w:afterAutospacing="1"/>
        <w:ind w:left="993" w:hanging="284"/>
      </w:pPr>
      <w:r w:rsidRPr="001724A0">
        <w:t xml:space="preserve">The name of the partnership or trading </w:t>
      </w:r>
      <w:proofErr w:type="gramStart"/>
      <w:r w:rsidRPr="001724A0">
        <w:t>name;</w:t>
      </w:r>
      <w:proofErr w:type="gramEnd"/>
      <w:r w:rsidRPr="001724A0">
        <w:t xml:space="preserve"> </w:t>
      </w:r>
    </w:p>
    <w:p w14:paraId="4E4F05D4" w14:textId="77777777" w:rsidR="009E2E14" w:rsidRPr="001724A0" w:rsidRDefault="009E2E14" w:rsidP="00E81515">
      <w:pPr>
        <w:pStyle w:val="ListParagraph"/>
        <w:numPr>
          <w:ilvl w:val="1"/>
          <w:numId w:val="12"/>
        </w:numPr>
        <w:autoSpaceDE w:val="0"/>
        <w:autoSpaceDN w:val="0"/>
        <w:adjustRightInd w:val="0"/>
        <w:spacing w:before="100" w:beforeAutospacing="1" w:after="100" w:afterAutospacing="1"/>
        <w:ind w:left="993" w:hanging="284"/>
      </w:pPr>
      <w:r w:rsidRPr="001724A0">
        <w:t xml:space="preserve">The registered address, if </w:t>
      </w:r>
      <w:proofErr w:type="gramStart"/>
      <w:r w:rsidRPr="001724A0">
        <w:t>any;</w:t>
      </w:r>
      <w:proofErr w:type="gramEnd"/>
      <w:r w:rsidRPr="001724A0">
        <w:t xml:space="preserve"> </w:t>
      </w:r>
    </w:p>
    <w:p w14:paraId="4E4F05D5" w14:textId="77777777" w:rsidR="009E2E14" w:rsidRPr="001724A0" w:rsidRDefault="009E2E14" w:rsidP="00E81515">
      <w:pPr>
        <w:pStyle w:val="ListParagraph"/>
        <w:numPr>
          <w:ilvl w:val="1"/>
          <w:numId w:val="12"/>
        </w:numPr>
        <w:autoSpaceDE w:val="0"/>
        <w:autoSpaceDN w:val="0"/>
        <w:adjustRightInd w:val="0"/>
        <w:spacing w:before="100" w:beforeAutospacing="1" w:after="100" w:afterAutospacing="1"/>
        <w:ind w:left="993" w:hanging="284"/>
      </w:pPr>
      <w:r w:rsidRPr="001724A0">
        <w:t xml:space="preserve">The trading </w:t>
      </w:r>
      <w:proofErr w:type="gramStart"/>
      <w:r w:rsidRPr="001724A0">
        <w:t>address;</w:t>
      </w:r>
      <w:proofErr w:type="gramEnd"/>
      <w:r w:rsidRPr="001724A0">
        <w:t xml:space="preserve"> </w:t>
      </w:r>
    </w:p>
    <w:p w14:paraId="4E4F05D6" w14:textId="77777777" w:rsidR="009E2E14" w:rsidRPr="001724A0" w:rsidRDefault="009E2E14" w:rsidP="00E81515">
      <w:pPr>
        <w:pStyle w:val="ListParagraph"/>
        <w:numPr>
          <w:ilvl w:val="1"/>
          <w:numId w:val="12"/>
        </w:numPr>
        <w:autoSpaceDE w:val="0"/>
        <w:autoSpaceDN w:val="0"/>
        <w:adjustRightInd w:val="0"/>
        <w:spacing w:before="100" w:beforeAutospacing="1" w:after="100" w:afterAutospacing="1"/>
        <w:ind w:left="993" w:hanging="284"/>
      </w:pPr>
      <w:r w:rsidRPr="001724A0">
        <w:t xml:space="preserve">The nature of business </w:t>
      </w:r>
    </w:p>
    <w:p w14:paraId="4E4F05D7" w14:textId="77777777" w:rsidR="009E2E14" w:rsidRPr="001724A0" w:rsidRDefault="00500503" w:rsidP="009E2E14">
      <w:pPr>
        <w:spacing w:before="100" w:beforeAutospacing="1" w:after="100" w:afterAutospacing="1"/>
      </w:pPr>
      <w:r>
        <w:tab/>
      </w:r>
      <w:r w:rsidR="009E2E14" w:rsidRPr="001724A0">
        <w:t>For Local Authorities or Government agencies:</w:t>
      </w:r>
    </w:p>
    <w:p w14:paraId="4E4F05D8" w14:textId="77777777" w:rsidR="009E2E14" w:rsidRPr="001724A0" w:rsidRDefault="009E2E14" w:rsidP="00E81515">
      <w:pPr>
        <w:pStyle w:val="ListParagraph"/>
        <w:numPr>
          <w:ilvl w:val="1"/>
          <w:numId w:val="12"/>
        </w:numPr>
        <w:autoSpaceDE w:val="0"/>
        <w:autoSpaceDN w:val="0"/>
        <w:adjustRightInd w:val="0"/>
        <w:spacing w:before="100" w:beforeAutospacing="1" w:after="100" w:afterAutospacing="1"/>
        <w:ind w:left="993" w:hanging="284"/>
      </w:pPr>
      <w:r w:rsidRPr="001724A0">
        <w:t xml:space="preserve">Full name of the </w:t>
      </w:r>
      <w:proofErr w:type="gramStart"/>
      <w:r w:rsidRPr="001724A0">
        <w:t>entity;</w:t>
      </w:r>
      <w:proofErr w:type="gramEnd"/>
      <w:r w:rsidRPr="001724A0">
        <w:t xml:space="preserve"> </w:t>
      </w:r>
    </w:p>
    <w:p w14:paraId="4E4F05D9" w14:textId="77777777" w:rsidR="009E2E14" w:rsidRPr="001724A0" w:rsidRDefault="009E2E14" w:rsidP="00E81515">
      <w:pPr>
        <w:pStyle w:val="ListParagraph"/>
        <w:numPr>
          <w:ilvl w:val="1"/>
          <w:numId w:val="12"/>
        </w:numPr>
        <w:autoSpaceDE w:val="0"/>
        <w:autoSpaceDN w:val="0"/>
        <w:adjustRightInd w:val="0"/>
        <w:spacing w:before="100" w:beforeAutospacing="1" w:after="100" w:afterAutospacing="1"/>
        <w:ind w:left="993" w:hanging="284"/>
      </w:pPr>
      <w:r w:rsidRPr="001724A0">
        <w:t xml:space="preserve">Nature and status of the </w:t>
      </w:r>
      <w:proofErr w:type="gramStart"/>
      <w:r w:rsidRPr="001724A0">
        <w:t>entity;</w:t>
      </w:r>
      <w:proofErr w:type="gramEnd"/>
      <w:r w:rsidRPr="001724A0">
        <w:t xml:space="preserve"> </w:t>
      </w:r>
    </w:p>
    <w:p w14:paraId="4E4F05DA" w14:textId="77777777" w:rsidR="009E2E14" w:rsidRPr="001724A0" w:rsidRDefault="009E2E14" w:rsidP="00E81515">
      <w:pPr>
        <w:pStyle w:val="ListParagraph"/>
        <w:numPr>
          <w:ilvl w:val="1"/>
          <w:numId w:val="12"/>
        </w:numPr>
        <w:autoSpaceDE w:val="0"/>
        <w:autoSpaceDN w:val="0"/>
        <w:adjustRightInd w:val="0"/>
        <w:spacing w:before="100" w:beforeAutospacing="1" w:after="100" w:afterAutospacing="1"/>
        <w:ind w:left="993" w:hanging="284"/>
      </w:pPr>
      <w:r w:rsidRPr="001724A0">
        <w:t xml:space="preserve">Address of the </w:t>
      </w:r>
      <w:proofErr w:type="gramStart"/>
      <w:r w:rsidRPr="001724A0">
        <w:t>entity;</w:t>
      </w:r>
      <w:proofErr w:type="gramEnd"/>
      <w:r w:rsidRPr="001724A0">
        <w:t xml:space="preserve"> </w:t>
      </w:r>
    </w:p>
    <w:p w14:paraId="4E4F05DB" w14:textId="77777777" w:rsidR="009E2E14" w:rsidRPr="001724A0" w:rsidRDefault="009E2E14" w:rsidP="00E81515">
      <w:pPr>
        <w:pStyle w:val="ListParagraph"/>
        <w:numPr>
          <w:ilvl w:val="1"/>
          <w:numId w:val="12"/>
        </w:numPr>
        <w:autoSpaceDE w:val="0"/>
        <w:autoSpaceDN w:val="0"/>
        <w:adjustRightInd w:val="0"/>
        <w:spacing w:before="100" w:beforeAutospacing="1" w:after="100" w:afterAutospacing="1"/>
        <w:ind w:left="993" w:hanging="284"/>
      </w:pPr>
      <w:r w:rsidRPr="001724A0">
        <w:t xml:space="preserve">Name of the home state authority; and </w:t>
      </w:r>
    </w:p>
    <w:p w14:paraId="4E4F05DD" w14:textId="5AF67FED" w:rsidR="009E2E14" w:rsidRPr="001724A0" w:rsidRDefault="009E2E14" w:rsidP="00E81515">
      <w:pPr>
        <w:pStyle w:val="ListParagraph"/>
        <w:numPr>
          <w:ilvl w:val="1"/>
          <w:numId w:val="12"/>
        </w:numPr>
        <w:autoSpaceDE w:val="0"/>
        <w:autoSpaceDN w:val="0"/>
        <w:adjustRightInd w:val="0"/>
        <w:spacing w:before="100" w:beforeAutospacing="1" w:after="100" w:afterAutospacing="1"/>
        <w:ind w:left="993" w:hanging="284"/>
      </w:pPr>
      <w:r w:rsidRPr="001724A0">
        <w:t xml:space="preserve">Name of the directors or equivalent. </w:t>
      </w:r>
    </w:p>
    <w:p w14:paraId="4E4F05DE" w14:textId="77777777" w:rsidR="009E2E14" w:rsidRPr="001724A0" w:rsidRDefault="009B5B70" w:rsidP="009E2E14">
      <w:pPr>
        <w:spacing w:before="100" w:beforeAutospacing="1" w:after="100" w:afterAutospacing="1"/>
      </w:pPr>
      <w:r>
        <w:tab/>
      </w:r>
      <w:r w:rsidR="009E2E14" w:rsidRPr="001724A0">
        <w:t xml:space="preserve">For any other organisation, contact the MLRO to establish which checks </w:t>
      </w:r>
      <w:r>
        <w:tab/>
      </w:r>
      <w:r w:rsidR="009E2E14" w:rsidRPr="001724A0">
        <w:t>should be carried out.</w:t>
      </w:r>
    </w:p>
    <w:p w14:paraId="4E4F05DF" w14:textId="77777777" w:rsidR="009E2E14" w:rsidRPr="001724A0" w:rsidRDefault="009E2E14" w:rsidP="00E81515">
      <w:pPr>
        <w:pStyle w:val="ListParagraph"/>
        <w:numPr>
          <w:ilvl w:val="0"/>
          <w:numId w:val="16"/>
        </w:numPr>
        <w:spacing w:before="100" w:beforeAutospacing="1" w:after="100" w:afterAutospacing="1"/>
        <w:ind w:hanging="436"/>
      </w:pPr>
      <w:r w:rsidRPr="001724A0">
        <w:t xml:space="preserve">The above circumstances, </w:t>
      </w:r>
      <w:proofErr w:type="gramStart"/>
      <w:r w:rsidRPr="001724A0">
        <w:t>employees</w:t>
      </w:r>
      <w:proofErr w:type="gramEnd"/>
      <w:r w:rsidRPr="001724A0">
        <w:t xml:space="preserve"> or contractors in the relevant service area of OCC must obtain satisfactory evidence of the identity of the prospective client, as soon as practicable after instructions are received (unless evidence of the client has already been obtained). This applies to existing clients, as well as new ones.</w:t>
      </w:r>
    </w:p>
    <w:p w14:paraId="4E4F05E0" w14:textId="77777777" w:rsidR="009E2E14" w:rsidRPr="001724A0" w:rsidRDefault="009E2E14" w:rsidP="009B5B70">
      <w:pPr>
        <w:spacing w:before="100" w:beforeAutospacing="1" w:after="100" w:afterAutospacing="1"/>
        <w:ind w:left="709"/>
      </w:pPr>
      <w:r w:rsidRPr="001724A0">
        <w:t xml:space="preserve">If satisfactory evidence of identity is not obtained at the outset of the </w:t>
      </w:r>
      <w:proofErr w:type="gramStart"/>
      <w:r w:rsidRPr="001724A0">
        <w:t>matter</w:t>
      </w:r>
      <w:proofErr w:type="gramEnd"/>
      <w:r w:rsidRPr="001724A0">
        <w:t xml:space="preserve"> then the business relationship or one off transaction cannot proceed any further.</w:t>
      </w:r>
    </w:p>
    <w:p w14:paraId="4E4F05E1" w14:textId="77777777" w:rsidR="009E2E14" w:rsidRDefault="009E2E14" w:rsidP="009B5B70">
      <w:pPr>
        <w:spacing w:before="100" w:beforeAutospacing="1" w:after="100" w:afterAutospacing="1"/>
        <w:ind w:left="709"/>
        <w:rPr>
          <w:b/>
        </w:rPr>
      </w:pPr>
      <w:r w:rsidRPr="001724A0">
        <w:rPr>
          <w:b/>
        </w:rPr>
        <w:t>In all cases, the evidence should be retained for at least five years from the end of the business relationship or one-off transaction(s).</w:t>
      </w:r>
    </w:p>
    <w:p w14:paraId="4E4F0602" w14:textId="7013B887" w:rsidR="009E2E14" w:rsidRPr="001724A0" w:rsidRDefault="004B3FC8" w:rsidP="009E2E14">
      <w:pPr>
        <w:pStyle w:val="Heading1"/>
        <w:rPr>
          <w:rFonts w:cs="Arial"/>
          <w:color w:val="auto"/>
        </w:rPr>
      </w:pPr>
      <w:bookmarkStart w:id="89" w:name="_Toc532466663"/>
      <w:r>
        <w:rPr>
          <w:rFonts w:cs="Arial"/>
          <w:color w:val="auto"/>
        </w:rPr>
        <w:lastRenderedPageBreak/>
        <w:t>A</w:t>
      </w:r>
      <w:r w:rsidR="009B5B70">
        <w:rPr>
          <w:rFonts w:cs="Arial"/>
          <w:color w:val="auto"/>
        </w:rPr>
        <w:t>p</w:t>
      </w:r>
      <w:r w:rsidR="009E2E14" w:rsidRPr="001724A0">
        <w:rPr>
          <w:rFonts w:cs="Arial"/>
          <w:color w:val="auto"/>
        </w:rPr>
        <w:t>pendix 2 –</w:t>
      </w:r>
      <w:bookmarkEnd w:id="89"/>
      <w:r w:rsidR="009E2E14" w:rsidRPr="001724A0">
        <w:rPr>
          <w:rFonts w:cs="Arial"/>
          <w:color w:val="auto"/>
        </w:rPr>
        <w:t xml:space="preserve"> </w:t>
      </w:r>
    </w:p>
    <w:p w14:paraId="4E4F0603" w14:textId="77777777" w:rsidR="009E2E14" w:rsidRPr="001724A0" w:rsidRDefault="009E2E14" w:rsidP="009E2E14">
      <w:pPr>
        <w:rPr>
          <w:lang w:eastAsia="en-GB"/>
        </w:rPr>
      </w:pPr>
    </w:p>
    <w:p w14:paraId="4E4F0604" w14:textId="77777777" w:rsidR="005C19B3" w:rsidRPr="001724A0" w:rsidRDefault="005C19B3" w:rsidP="005C19B3">
      <w:pPr>
        <w:pStyle w:val="ListParagraph"/>
        <w:autoSpaceDE w:val="0"/>
        <w:autoSpaceDN w:val="0"/>
        <w:adjustRightInd w:val="0"/>
        <w:spacing w:before="100" w:beforeAutospacing="1" w:after="100" w:afterAutospacing="1"/>
        <w:ind w:left="0"/>
      </w:pPr>
    </w:p>
    <w:p w14:paraId="4E4F0605" w14:textId="77777777" w:rsidR="005C19B3" w:rsidRPr="001724A0" w:rsidRDefault="005C19B3" w:rsidP="005C19B3">
      <w:pPr>
        <w:pStyle w:val="ListParagraph"/>
        <w:autoSpaceDE w:val="0"/>
        <w:autoSpaceDN w:val="0"/>
        <w:adjustRightInd w:val="0"/>
        <w:spacing w:before="100" w:beforeAutospacing="1" w:after="100" w:afterAutospacing="1"/>
        <w:ind w:left="0"/>
      </w:pPr>
    </w:p>
    <w:p w14:paraId="4E4F0606" w14:textId="77777777" w:rsidR="005C19B3" w:rsidRPr="001724A0" w:rsidRDefault="005C19B3" w:rsidP="005C19B3">
      <w:pPr>
        <w:pStyle w:val="ListParagraph"/>
        <w:autoSpaceDE w:val="0"/>
        <w:autoSpaceDN w:val="0"/>
        <w:adjustRightInd w:val="0"/>
        <w:spacing w:before="100" w:beforeAutospacing="1" w:after="100" w:afterAutospacing="1"/>
        <w:ind w:left="0"/>
        <w:jc w:val="right"/>
        <w:rPr>
          <w:b/>
        </w:rPr>
      </w:pPr>
      <w:r w:rsidRPr="001724A0">
        <w:rPr>
          <w:noProof/>
          <w:lang w:eastAsia="en-GB"/>
        </w:rPr>
        <mc:AlternateContent>
          <mc:Choice Requires="wpg">
            <w:drawing>
              <wp:anchor distT="0" distB="0" distL="114300" distR="114300" simplePos="0" relativeHeight="251659264" behindDoc="0" locked="0" layoutInCell="1" allowOverlap="1" wp14:anchorId="4E4F069B" wp14:editId="4E4F069C">
                <wp:simplePos x="0" y="0"/>
                <wp:positionH relativeFrom="column">
                  <wp:posOffset>751840</wp:posOffset>
                </wp:positionH>
                <wp:positionV relativeFrom="paragraph">
                  <wp:posOffset>-132080</wp:posOffset>
                </wp:positionV>
                <wp:extent cx="3819608" cy="8514087"/>
                <wp:effectExtent l="0" t="0" r="28575" b="20320"/>
                <wp:wrapNone/>
                <wp:docPr id="315" name="Group 315"/>
                <wp:cNvGraphicFramePr/>
                <a:graphic xmlns:a="http://schemas.openxmlformats.org/drawingml/2006/main">
                  <a:graphicData uri="http://schemas.microsoft.com/office/word/2010/wordprocessingGroup">
                    <wpg:wgp>
                      <wpg:cNvGrpSpPr/>
                      <wpg:grpSpPr>
                        <a:xfrm>
                          <a:off x="0" y="0"/>
                          <a:ext cx="3819608" cy="8514087"/>
                          <a:chOff x="0" y="0"/>
                          <a:chExt cx="3820242" cy="8514087"/>
                        </a:xfrm>
                      </wpg:grpSpPr>
                      <wps:wsp>
                        <wps:cNvPr id="316" name="Text Box 2"/>
                        <wps:cNvSpPr txBox="1">
                          <a:spLocks noChangeArrowheads="1"/>
                        </wps:cNvSpPr>
                        <wps:spPr bwMode="auto">
                          <a:xfrm>
                            <a:off x="2237937" y="0"/>
                            <a:ext cx="828176" cy="276224"/>
                          </a:xfrm>
                          <a:prstGeom prst="rect">
                            <a:avLst/>
                          </a:prstGeom>
                          <a:solidFill>
                            <a:srgbClr val="FFC000"/>
                          </a:solidFill>
                          <a:ln w="9525">
                            <a:solidFill>
                              <a:srgbClr val="000000"/>
                            </a:solidFill>
                            <a:miter lim="800000"/>
                            <a:headEnd/>
                            <a:tailEnd/>
                          </a:ln>
                        </wps:spPr>
                        <wps:txbx>
                          <w:txbxContent>
                            <w:p w14:paraId="4E4F06A3" w14:textId="77777777" w:rsidR="00DF0FBE" w:rsidRDefault="00DF0FBE" w:rsidP="005C19B3">
                              <w:pPr>
                                <w:jc w:val="center"/>
                              </w:pPr>
                              <w:r>
                                <w:t>Start</w:t>
                              </w:r>
                            </w:p>
                          </w:txbxContent>
                        </wps:txbx>
                        <wps:bodyPr rot="0" vert="horz" wrap="square" lIns="91440" tIns="45720" rIns="91440" bIns="45720" anchor="t" anchorCtr="0">
                          <a:spAutoFit/>
                        </wps:bodyPr>
                      </wps:wsp>
                      <wps:wsp>
                        <wps:cNvPr id="317" name="Text Box 2"/>
                        <wps:cNvSpPr txBox="1">
                          <a:spLocks noChangeArrowheads="1"/>
                        </wps:cNvSpPr>
                        <wps:spPr bwMode="auto">
                          <a:xfrm>
                            <a:off x="1523702" y="876287"/>
                            <a:ext cx="2296540" cy="626744"/>
                          </a:xfrm>
                          <a:prstGeom prst="rect">
                            <a:avLst/>
                          </a:prstGeom>
                          <a:solidFill>
                            <a:srgbClr val="FFFFFF"/>
                          </a:solidFill>
                          <a:ln w="9525">
                            <a:solidFill>
                              <a:srgbClr val="000000"/>
                            </a:solidFill>
                            <a:miter lim="800000"/>
                            <a:headEnd/>
                            <a:tailEnd/>
                          </a:ln>
                        </wps:spPr>
                        <wps:txbx>
                          <w:txbxContent>
                            <w:p w14:paraId="4E4F06A4" w14:textId="77777777" w:rsidR="00DF0FBE" w:rsidRDefault="00DF0FBE" w:rsidP="005C19B3">
                              <w:pPr>
                                <w:jc w:val="center"/>
                              </w:pPr>
                              <w:r>
                                <w:t>You suspect that the money/property has been</w:t>
                              </w:r>
                            </w:p>
                            <w:p w14:paraId="4E4F06A5" w14:textId="77777777" w:rsidR="00DF0FBE" w:rsidRDefault="00DF0FBE" w:rsidP="005C19B3">
                              <w:pPr>
                                <w:jc w:val="center"/>
                              </w:pPr>
                              <w:r>
                                <w:t>illegally acquired</w:t>
                              </w:r>
                            </w:p>
                          </w:txbxContent>
                        </wps:txbx>
                        <wps:bodyPr rot="0" vert="horz" wrap="square" lIns="91440" tIns="45720" rIns="91440" bIns="45720" anchor="t" anchorCtr="0">
                          <a:spAutoFit/>
                        </wps:bodyPr>
                      </wps:wsp>
                      <wps:wsp>
                        <wps:cNvPr id="318" name="Text Box 318"/>
                        <wps:cNvSpPr txBox="1">
                          <a:spLocks noChangeArrowheads="1"/>
                        </wps:cNvSpPr>
                        <wps:spPr bwMode="auto">
                          <a:xfrm>
                            <a:off x="1523416" y="2104992"/>
                            <a:ext cx="2295905" cy="977264"/>
                          </a:xfrm>
                          <a:prstGeom prst="rect">
                            <a:avLst/>
                          </a:prstGeom>
                          <a:solidFill>
                            <a:srgbClr val="FFFFFF"/>
                          </a:solidFill>
                          <a:ln w="9525">
                            <a:solidFill>
                              <a:srgbClr val="000000"/>
                            </a:solidFill>
                            <a:miter lim="800000"/>
                            <a:headEnd/>
                            <a:tailEnd/>
                          </a:ln>
                        </wps:spPr>
                        <wps:txbx>
                          <w:txbxContent>
                            <w:p w14:paraId="4E4F06A6" w14:textId="77777777" w:rsidR="00DF0FBE" w:rsidRDefault="00DF0FBE" w:rsidP="005C19B3">
                              <w:pPr>
                                <w:jc w:val="center"/>
                              </w:pPr>
                              <w:r>
                                <w:t>Do not continue with any transaction that could assist</w:t>
                              </w:r>
                            </w:p>
                            <w:p w14:paraId="4E4F06A7" w14:textId="77777777" w:rsidR="00DF0FBE" w:rsidRDefault="00DF0FBE" w:rsidP="005C19B3">
                              <w:pPr>
                                <w:jc w:val="center"/>
                              </w:pPr>
                              <w:r>
                                <w:t>in money laundering. Contact the MLRO and explain</w:t>
                              </w:r>
                            </w:p>
                            <w:p w14:paraId="4E4F06A8" w14:textId="77777777" w:rsidR="00DF0FBE" w:rsidRDefault="00DF0FBE" w:rsidP="005C19B3">
                              <w:pPr>
                                <w:jc w:val="center"/>
                              </w:pPr>
                              <w:r>
                                <w:t>your suspicions.</w:t>
                              </w:r>
                            </w:p>
                          </w:txbxContent>
                        </wps:txbx>
                        <wps:bodyPr rot="0" vert="horz" wrap="square" lIns="91440" tIns="45720" rIns="91440" bIns="45720" anchor="t" anchorCtr="0">
                          <a:spAutoFit/>
                        </wps:bodyPr>
                      </wps:wsp>
                      <wps:wsp>
                        <wps:cNvPr id="319" name="Text Box 2"/>
                        <wps:cNvSpPr txBox="1">
                          <a:spLocks noChangeArrowheads="1"/>
                        </wps:cNvSpPr>
                        <wps:spPr bwMode="auto">
                          <a:xfrm>
                            <a:off x="1523416" y="3505145"/>
                            <a:ext cx="2295905" cy="626744"/>
                          </a:xfrm>
                          <a:prstGeom prst="rect">
                            <a:avLst/>
                          </a:prstGeom>
                          <a:solidFill>
                            <a:srgbClr val="FFFFFF"/>
                          </a:solidFill>
                          <a:ln w="9525">
                            <a:solidFill>
                              <a:srgbClr val="000000"/>
                            </a:solidFill>
                            <a:miter lim="800000"/>
                            <a:headEnd/>
                            <a:tailEnd/>
                          </a:ln>
                        </wps:spPr>
                        <wps:txbx>
                          <w:txbxContent>
                            <w:p w14:paraId="4E4F06A9" w14:textId="77777777" w:rsidR="00DF0FBE" w:rsidRDefault="00DF0FBE" w:rsidP="005C19B3">
                              <w:pPr>
                                <w:jc w:val="center"/>
                              </w:pPr>
                              <w:r>
                                <w:t>Does the MLRO consider that the suspicion should</w:t>
                              </w:r>
                            </w:p>
                            <w:p w14:paraId="4E4F06AA" w14:textId="77777777" w:rsidR="00DF0FBE" w:rsidRDefault="00DF0FBE" w:rsidP="005C19B3">
                              <w:pPr>
                                <w:jc w:val="center"/>
                              </w:pPr>
                              <w:r>
                                <w:t>be reported to the NCA?</w:t>
                              </w:r>
                            </w:p>
                          </w:txbxContent>
                        </wps:txbx>
                        <wps:bodyPr rot="0" vert="horz" wrap="square" lIns="91440" tIns="45720" rIns="91440" bIns="45720" anchor="t" anchorCtr="0">
                          <a:spAutoFit/>
                        </wps:bodyPr>
                      </wps:wsp>
                      <wps:wsp>
                        <wps:cNvPr id="320" name="Text Box 2"/>
                        <wps:cNvSpPr txBox="1">
                          <a:spLocks noChangeArrowheads="1"/>
                        </wps:cNvSpPr>
                        <wps:spPr bwMode="auto">
                          <a:xfrm>
                            <a:off x="2257425" y="4552950"/>
                            <a:ext cx="790575" cy="275590"/>
                          </a:xfrm>
                          <a:prstGeom prst="rect">
                            <a:avLst/>
                          </a:prstGeom>
                          <a:solidFill>
                            <a:srgbClr val="FF0000"/>
                          </a:solidFill>
                          <a:ln w="9525">
                            <a:solidFill>
                              <a:srgbClr val="000000"/>
                            </a:solidFill>
                            <a:miter lim="800000"/>
                            <a:headEnd/>
                            <a:tailEnd/>
                          </a:ln>
                        </wps:spPr>
                        <wps:txbx>
                          <w:txbxContent>
                            <w:p w14:paraId="4E4F06AB" w14:textId="77777777" w:rsidR="00DF0FBE" w:rsidRDefault="00DF0FBE" w:rsidP="005C19B3">
                              <w:pPr>
                                <w:jc w:val="center"/>
                              </w:pPr>
                              <w:r>
                                <w:t>YES</w:t>
                              </w:r>
                            </w:p>
                          </w:txbxContent>
                        </wps:txbx>
                        <wps:bodyPr rot="0" vert="horz" wrap="square" lIns="91440" tIns="45720" rIns="91440" bIns="45720" anchor="t" anchorCtr="0">
                          <a:noAutofit/>
                        </wps:bodyPr>
                      </wps:wsp>
                      <wps:wsp>
                        <wps:cNvPr id="321" name="Text Box 2"/>
                        <wps:cNvSpPr txBox="1">
                          <a:spLocks noChangeArrowheads="1"/>
                        </wps:cNvSpPr>
                        <wps:spPr bwMode="auto">
                          <a:xfrm>
                            <a:off x="171413" y="3705168"/>
                            <a:ext cx="847865" cy="276224"/>
                          </a:xfrm>
                          <a:prstGeom prst="rect">
                            <a:avLst/>
                          </a:prstGeom>
                          <a:solidFill>
                            <a:srgbClr val="FFFFFF"/>
                          </a:solidFill>
                          <a:ln w="9525">
                            <a:solidFill>
                              <a:srgbClr val="000000"/>
                            </a:solidFill>
                            <a:miter lim="800000"/>
                            <a:headEnd/>
                            <a:tailEnd/>
                          </a:ln>
                        </wps:spPr>
                        <wps:txbx>
                          <w:txbxContent>
                            <w:p w14:paraId="4E4F06AC" w14:textId="77777777" w:rsidR="00DF0FBE" w:rsidRDefault="00DF0FBE" w:rsidP="005C19B3">
                              <w:pPr>
                                <w:jc w:val="center"/>
                              </w:pPr>
                              <w:r>
                                <w:t>NO</w:t>
                              </w:r>
                            </w:p>
                          </w:txbxContent>
                        </wps:txbx>
                        <wps:bodyPr rot="0" vert="horz" wrap="square" lIns="91440" tIns="45720" rIns="91440" bIns="45720" anchor="t" anchorCtr="0">
                          <a:spAutoFit/>
                        </wps:bodyPr>
                      </wps:wsp>
                      <wps:wsp>
                        <wps:cNvPr id="322" name="Text Box 2"/>
                        <wps:cNvSpPr txBox="1">
                          <a:spLocks noChangeArrowheads="1"/>
                        </wps:cNvSpPr>
                        <wps:spPr bwMode="auto">
                          <a:xfrm>
                            <a:off x="0" y="5257720"/>
                            <a:ext cx="1105082" cy="626744"/>
                          </a:xfrm>
                          <a:prstGeom prst="rect">
                            <a:avLst/>
                          </a:prstGeom>
                          <a:solidFill>
                            <a:srgbClr val="00B050"/>
                          </a:solidFill>
                          <a:ln w="9525">
                            <a:solidFill>
                              <a:srgbClr val="000000"/>
                            </a:solidFill>
                            <a:miter lim="800000"/>
                            <a:headEnd/>
                            <a:tailEnd/>
                          </a:ln>
                        </wps:spPr>
                        <wps:txbx>
                          <w:txbxContent>
                            <w:p w14:paraId="4E4F06AD" w14:textId="77777777" w:rsidR="00DF0FBE" w:rsidRDefault="00DF0FBE" w:rsidP="005C19B3">
                              <w:pPr>
                                <w:jc w:val="center"/>
                              </w:pPr>
                              <w:r>
                                <w:t>Continue with Transaction</w:t>
                              </w:r>
                            </w:p>
                          </w:txbxContent>
                        </wps:txbx>
                        <wps:bodyPr rot="0" vert="horz" wrap="square" lIns="91440" tIns="45720" rIns="91440" bIns="45720" anchor="t" anchorCtr="0">
                          <a:spAutoFit/>
                        </wps:bodyPr>
                      </wps:wsp>
                      <wps:wsp>
                        <wps:cNvPr id="323" name="Text Box 2"/>
                        <wps:cNvSpPr txBox="1">
                          <a:spLocks noChangeArrowheads="1"/>
                        </wps:cNvSpPr>
                        <wps:spPr bwMode="auto">
                          <a:xfrm>
                            <a:off x="1523416" y="5256994"/>
                            <a:ext cx="2295905" cy="977264"/>
                          </a:xfrm>
                          <a:prstGeom prst="rect">
                            <a:avLst/>
                          </a:prstGeom>
                          <a:solidFill>
                            <a:srgbClr val="FFFFFF"/>
                          </a:solidFill>
                          <a:ln w="9525">
                            <a:solidFill>
                              <a:srgbClr val="000000"/>
                            </a:solidFill>
                            <a:miter lim="800000"/>
                            <a:headEnd/>
                            <a:tailEnd/>
                          </a:ln>
                        </wps:spPr>
                        <wps:txbx>
                          <w:txbxContent>
                            <w:p w14:paraId="4E4F06AE" w14:textId="77777777" w:rsidR="00DF0FBE" w:rsidRDefault="00DF0FBE" w:rsidP="005C19B3">
                              <w:pPr>
                                <w:jc w:val="center"/>
                              </w:pPr>
                              <w:r>
                                <w:t>Prepare a report to the NCA detailing suspicions.</w:t>
                              </w:r>
                            </w:p>
                            <w:p w14:paraId="4E4F06AF" w14:textId="77777777" w:rsidR="00DF0FBE" w:rsidRDefault="00DF0FBE" w:rsidP="005C19B3">
                              <w:pPr>
                                <w:jc w:val="center"/>
                              </w:pPr>
                              <w:r>
                                <w:t>If appropriate ask the NCA for permission to continue</w:t>
                              </w:r>
                            </w:p>
                            <w:p w14:paraId="4E4F06B0" w14:textId="77777777" w:rsidR="00DF0FBE" w:rsidRDefault="00DF0FBE" w:rsidP="005C19B3">
                              <w:pPr>
                                <w:jc w:val="center"/>
                              </w:pPr>
                              <w:r>
                                <w:t>with transaction.</w:t>
                              </w:r>
                            </w:p>
                          </w:txbxContent>
                        </wps:txbx>
                        <wps:bodyPr rot="0" vert="horz" wrap="square" lIns="91440" tIns="45720" rIns="91440" bIns="45720" anchor="t" anchorCtr="0">
                          <a:spAutoFit/>
                        </wps:bodyPr>
                      </wps:wsp>
                      <wps:wsp>
                        <wps:cNvPr id="324" name="Text Box 2"/>
                        <wps:cNvSpPr txBox="1">
                          <a:spLocks noChangeArrowheads="1"/>
                        </wps:cNvSpPr>
                        <wps:spPr bwMode="auto">
                          <a:xfrm>
                            <a:off x="1523669" y="6828379"/>
                            <a:ext cx="2295270" cy="802004"/>
                          </a:xfrm>
                          <a:prstGeom prst="rect">
                            <a:avLst/>
                          </a:prstGeom>
                          <a:solidFill>
                            <a:srgbClr val="FFFFFF"/>
                          </a:solidFill>
                          <a:ln w="9525">
                            <a:solidFill>
                              <a:srgbClr val="000000"/>
                            </a:solidFill>
                            <a:miter lim="800000"/>
                            <a:headEnd/>
                            <a:tailEnd/>
                          </a:ln>
                        </wps:spPr>
                        <wps:txbx>
                          <w:txbxContent>
                            <w:p w14:paraId="4E4F06B1" w14:textId="77777777" w:rsidR="00DF0FBE" w:rsidRDefault="00DF0FBE" w:rsidP="005C19B3">
                              <w:pPr>
                                <w:jc w:val="center"/>
                              </w:pPr>
                              <w:r>
                                <w:t>Follow the instructions of the MLRO.</w:t>
                              </w:r>
                            </w:p>
                            <w:p w14:paraId="4E4F06B2" w14:textId="77777777" w:rsidR="00DF0FBE" w:rsidRDefault="00DF0FBE" w:rsidP="005C19B3">
                              <w:pPr>
                                <w:jc w:val="center"/>
                              </w:pPr>
                              <w:r>
                                <w:t>Do not attempt any investigation yourself.</w:t>
                              </w:r>
                            </w:p>
                          </w:txbxContent>
                        </wps:txbx>
                        <wps:bodyPr rot="0" vert="horz" wrap="square" lIns="91440" tIns="45720" rIns="91440" bIns="45720" anchor="t" anchorCtr="0">
                          <a:spAutoFit/>
                        </wps:bodyPr>
                      </wps:wsp>
                      <wps:wsp>
                        <wps:cNvPr id="325" name="Text Box 2"/>
                        <wps:cNvSpPr txBox="1">
                          <a:spLocks noChangeArrowheads="1"/>
                        </wps:cNvSpPr>
                        <wps:spPr bwMode="auto">
                          <a:xfrm>
                            <a:off x="2247411" y="8237863"/>
                            <a:ext cx="818650" cy="276224"/>
                          </a:xfrm>
                          <a:prstGeom prst="rect">
                            <a:avLst/>
                          </a:prstGeom>
                          <a:solidFill>
                            <a:srgbClr val="00B050"/>
                          </a:solidFill>
                          <a:ln w="9525">
                            <a:solidFill>
                              <a:srgbClr val="000000"/>
                            </a:solidFill>
                            <a:miter lim="800000"/>
                            <a:headEnd/>
                            <a:tailEnd/>
                          </a:ln>
                        </wps:spPr>
                        <wps:txbx>
                          <w:txbxContent>
                            <w:p w14:paraId="4E4F06B3" w14:textId="77777777" w:rsidR="00DF0FBE" w:rsidRDefault="00DF0FBE" w:rsidP="005C19B3">
                              <w:pPr>
                                <w:jc w:val="center"/>
                              </w:pPr>
                              <w:r>
                                <w:t>END</w:t>
                              </w:r>
                            </w:p>
                          </w:txbxContent>
                        </wps:txbx>
                        <wps:bodyPr rot="0" vert="horz" wrap="square" lIns="91440" tIns="45720" rIns="91440" bIns="45720" anchor="t" anchorCtr="0">
                          <a:spAutoFit/>
                        </wps:bodyPr>
                      </wps:wsp>
                      <wps:wsp>
                        <wps:cNvPr id="326" name="Down Arrow 326"/>
                        <wps:cNvSpPr/>
                        <wps:spPr>
                          <a:xfrm>
                            <a:off x="2428875" y="466725"/>
                            <a:ext cx="484632"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7" name="Down Arrow 327"/>
                        <wps:cNvSpPr/>
                        <wps:spPr>
                          <a:xfrm>
                            <a:off x="2428875" y="1733550"/>
                            <a:ext cx="484632" cy="2762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8" name="Down Arrow 328"/>
                        <wps:cNvSpPr/>
                        <wps:spPr>
                          <a:xfrm>
                            <a:off x="2495550" y="3200400"/>
                            <a:ext cx="484632" cy="2476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9" name="Left Arrow 329"/>
                        <wps:cNvSpPr/>
                        <wps:spPr>
                          <a:xfrm>
                            <a:off x="1152525" y="3571875"/>
                            <a:ext cx="257175" cy="48450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0" name="Down Arrow 330"/>
                        <wps:cNvSpPr/>
                        <wps:spPr>
                          <a:xfrm>
                            <a:off x="371475" y="4133850"/>
                            <a:ext cx="484505" cy="9779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1" name="Down Arrow 331"/>
                        <wps:cNvSpPr/>
                        <wps:spPr>
                          <a:xfrm>
                            <a:off x="2428875" y="4238625"/>
                            <a:ext cx="484505" cy="209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2" name="Down Arrow 332"/>
                        <wps:cNvSpPr/>
                        <wps:spPr>
                          <a:xfrm>
                            <a:off x="2428875" y="4895850"/>
                            <a:ext cx="484505" cy="2444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3" name="Down Arrow 333"/>
                        <wps:cNvSpPr/>
                        <wps:spPr>
                          <a:xfrm>
                            <a:off x="2428875" y="6438900"/>
                            <a:ext cx="484505" cy="2476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4" name="Down Arrow 334"/>
                        <wps:cNvSpPr/>
                        <wps:spPr>
                          <a:xfrm>
                            <a:off x="2400300" y="7820025"/>
                            <a:ext cx="484505" cy="2476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4F069B" id="Group 315" o:spid="_x0000_s1026" style="position:absolute;left:0;text-align:left;margin-left:59.2pt;margin-top:-10.4pt;width:300.75pt;height:670.4pt;z-index:251659264;mso-width-relative:margin;mso-height-relative:margin" coordsize="38202,85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">
                <v:shapetype id="_x0000_t202" coordsize="21600,21600" o:spt="202" path="m,l,21600r21600,l21600,xe">
                  <v:stroke joinstyle="miter"/>
                  <v:path gradientshapeok="t" o:connecttype="rect"/>
                </v:shapetype>
                <v:shape id="Text Box 2" o:spid="_x0000_s1027" type="#_x0000_t202" style="position:absolute;left:22379;width:8282;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" fillcolor="#ffc000">
                  <v:textbox style="mso-fit-shape-to-text:t">
                    <w:txbxContent>
                      <w:p w14:paraId="4E4F06A3" w14:textId="77777777" w:rsidR="00DF0FBE" w:rsidRDefault="00DF0FBE" w:rsidP="005C19B3">
                        <w:pPr>
                          <w:jc w:val="center"/>
                        </w:pPr>
                        <w:r>
                          <w:t>Start</w:t>
                        </w:r>
                      </w:p>
                    </w:txbxContent>
                  </v:textbox>
                </v:shape>
                <v:shape id="Text Box 2" o:spid="_x0000_s1028" type="#_x0000_t202" style="position:absolute;left:15237;top:8762;width:22965;height:6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">
                  <v:textbox style="mso-fit-shape-to-text:t">
                    <w:txbxContent>
                      <w:p w14:paraId="4E4F06A4" w14:textId="77777777" w:rsidR="00DF0FBE" w:rsidRDefault="00DF0FBE" w:rsidP="005C19B3">
                        <w:pPr>
                          <w:jc w:val="center"/>
                        </w:pPr>
                        <w:r>
                          <w:t>You suspect that the money/property has been</w:t>
                        </w:r>
                      </w:p>
                      <w:p w14:paraId="4E4F06A5" w14:textId="77777777" w:rsidR="00DF0FBE" w:rsidRDefault="00DF0FBE" w:rsidP="005C19B3">
                        <w:pPr>
                          <w:jc w:val="center"/>
                        </w:pPr>
                        <w:r>
                          <w:t>illegally acquired</w:t>
                        </w:r>
                      </w:p>
                    </w:txbxContent>
                  </v:textbox>
                </v:shape>
                <v:shape id="Text Box 318" o:spid="_x0000_s1029" type="#_x0000_t202" style="position:absolute;left:15234;top:21049;width:22959;height:9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">
                  <v:textbox style="mso-fit-shape-to-text:t">
                    <w:txbxContent>
                      <w:p w14:paraId="4E4F06A6" w14:textId="77777777" w:rsidR="00DF0FBE" w:rsidRDefault="00DF0FBE" w:rsidP="005C19B3">
                        <w:pPr>
                          <w:jc w:val="center"/>
                        </w:pPr>
                        <w:r>
                          <w:t>Do not continue with any transaction that could assist</w:t>
                        </w:r>
                      </w:p>
                      <w:p w14:paraId="4E4F06A7" w14:textId="77777777" w:rsidR="00DF0FBE" w:rsidRDefault="00DF0FBE" w:rsidP="005C19B3">
                        <w:pPr>
                          <w:jc w:val="center"/>
                        </w:pPr>
                        <w:r>
                          <w:t>in money laundering. Contact the MLRO and explain</w:t>
                        </w:r>
                      </w:p>
                      <w:p w14:paraId="4E4F06A8" w14:textId="77777777" w:rsidR="00DF0FBE" w:rsidRDefault="00DF0FBE" w:rsidP="005C19B3">
                        <w:pPr>
                          <w:jc w:val="center"/>
                        </w:pPr>
                        <w:r>
                          <w:t>your suspicions.</w:t>
                        </w:r>
                      </w:p>
                    </w:txbxContent>
                  </v:textbox>
                </v:shape>
                <v:shape id="Text Box 2" o:spid="_x0000_s1030" type="#_x0000_t202" style="position:absolute;left:15234;top:35051;width:22959;height:6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">
                  <v:textbox style="mso-fit-shape-to-text:t">
                    <w:txbxContent>
                      <w:p w14:paraId="4E4F06A9" w14:textId="77777777" w:rsidR="00DF0FBE" w:rsidRDefault="00DF0FBE" w:rsidP="005C19B3">
                        <w:pPr>
                          <w:jc w:val="center"/>
                        </w:pPr>
                        <w:r>
                          <w:t>Does the MLRO consider that the suspicion should</w:t>
                        </w:r>
                      </w:p>
                      <w:p w14:paraId="4E4F06AA" w14:textId="77777777" w:rsidR="00DF0FBE" w:rsidRDefault="00DF0FBE" w:rsidP="005C19B3">
                        <w:pPr>
                          <w:jc w:val="center"/>
                        </w:pPr>
                        <w:r>
                          <w:t>be reported to the NCA?</w:t>
                        </w:r>
                      </w:p>
                    </w:txbxContent>
                  </v:textbox>
                </v:shape>
                <v:shape id="Text Box 2" o:spid="_x0000_s1031" type="#_x0000_t202" style="position:absolute;left:22574;top:45529;width:7906;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" fillcolor="red">
                  <v:textbox>
                    <w:txbxContent>
                      <w:p w14:paraId="4E4F06AB" w14:textId="77777777" w:rsidR="00DF0FBE" w:rsidRDefault="00DF0FBE" w:rsidP="005C19B3">
                        <w:pPr>
                          <w:jc w:val="center"/>
                        </w:pPr>
                        <w:r>
                          <w:t>YES</w:t>
                        </w:r>
                      </w:p>
                    </w:txbxContent>
                  </v:textbox>
                </v:shape>
                <v:shape id="Text Box 2" o:spid="_x0000_s1032" type="#_x0000_t202" style="position:absolute;left:1714;top:37051;width:8478;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">
                  <v:textbox style="mso-fit-shape-to-text:t">
                    <w:txbxContent>
                      <w:p w14:paraId="4E4F06AC" w14:textId="77777777" w:rsidR="00DF0FBE" w:rsidRDefault="00DF0FBE" w:rsidP="005C19B3">
                        <w:pPr>
                          <w:jc w:val="center"/>
                        </w:pPr>
                        <w:r>
                          <w:t>NO</w:t>
                        </w:r>
                      </w:p>
                    </w:txbxContent>
                  </v:textbox>
                </v:shape>
                <v:shape id="Text Box 2" o:spid="_x0000_s1033" type="#_x0000_t202" style="position:absolute;top:52577;width:11050;height:6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" fillcolor="#00b050">
                  <v:textbox style="mso-fit-shape-to-text:t">
                    <w:txbxContent>
                      <w:p w14:paraId="4E4F06AD" w14:textId="77777777" w:rsidR="00DF0FBE" w:rsidRDefault="00DF0FBE" w:rsidP="005C19B3">
                        <w:pPr>
                          <w:jc w:val="center"/>
                        </w:pPr>
                        <w:r>
                          <w:t>Continue with Transaction</w:t>
                        </w:r>
                      </w:p>
                    </w:txbxContent>
                  </v:textbox>
                </v:shape>
                <v:shape id="Text Box 2" o:spid="_x0000_s1034" type="#_x0000_t202" style="position:absolute;left:15234;top:52569;width:22959;height:9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">
                  <v:textbox style="mso-fit-shape-to-text:t">
                    <w:txbxContent>
                      <w:p w14:paraId="4E4F06AE" w14:textId="77777777" w:rsidR="00DF0FBE" w:rsidRDefault="00DF0FBE" w:rsidP="005C19B3">
                        <w:pPr>
                          <w:jc w:val="center"/>
                        </w:pPr>
                        <w:r>
                          <w:t>Prepare a report to the NCA detailing suspicions.</w:t>
                        </w:r>
                      </w:p>
                      <w:p w14:paraId="4E4F06AF" w14:textId="77777777" w:rsidR="00DF0FBE" w:rsidRDefault="00DF0FBE" w:rsidP="005C19B3">
                        <w:pPr>
                          <w:jc w:val="center"/>
                        </w:pPr>
                        <w:r>
                          <w:t>If appropriate ask the NCA for permission to continue</w:t>
                        </w:r>
                      </w:p>
                      <w:p w14:paraId="4E4F06B0" w14:textId="77777777" w:rsidR="00DF0FBE" w:rsidRDefault="00DF0FBE" w:rsidP="005C19B3">
                        <w:pPr>
                          <w:jc w:val="center"/>
                        </w:pPr>
                        <w:r>
                          <w:t>with transaction.</w:t>
                        </w:r>
                      </w:p>
                    </w:txbxContent>
                  </v:textbox>
                </v:shape>
                <v:shape id="Text Box 2" o:spid="_x0000_s1035" type="#_x0000_t202" style="position:absolute;left:15236;top:68283;width:22953;height:8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">
                  <v:textbox style="mso-fit-shape-to-text:t">
                    <w:txbxContent>
                      <w:p w14:paraId="4E4F06B1" w14:textId="77777777" w:rsidR="00DF0FBE" w:rsidRDefault="00DF0FBE" w:rsidP="005C19B3">
                        <w:pPr>
                          <w:jc w:val="center"/>
                        </w:pPr>
                        <w:r>
                          <w:t>Follow the instructions of the MLRO.</w:t>
                        </w:r>
                      </w:p>
                      <w:p w14:paraId="4E4F06B2" w14:textId="77777777" w:rsidR="00DF0FBE" w:rsidRDefault="00DF0FBE" w:rsidP="005C19B3">
                        <w:pPr>
                          <w:jc w:val="center"/>
                        </w:pPr>
                        <w:r>
                          <w:t>Do not attempt any investigation yourself.</w:t>
                        </w:r>
                      </w:p>
                    </w:txbxContent>
                  </v:textbox>
                </v:shape>
                <v:shape id="Text Box 2" o:spid="_x0000_s1036" type="#_x0000_t202" style="position:absolute;left:22474;top:82378;width:8186;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" fillcolor="#00b050">
                  <v:textbox style="mso-fit-shape-to-text:t">
                    <w:txbxContent>
                      <w:p w14:paraId="4E4F06B3" w14:textId="77777777" w:rsidR="00DF0FBE" w:rsidRDefault="00DF0FBE" w:rsidP="005C19B3">
                        <w:pPr>
                          <w:jc w:val="center"/>
                        </w:pPr>
                        <w:r>
                          <w:t>END</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26" o:spid="_x0000_s1037" type="#_x0000_t67" style="position:absolute;left:24288;top:4667;width:4847;height:2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" adj="10800" fillcolor="#4f81bd [3204]" strokecolor="#243f60 [1604]" strokeweight="2pt"/>
                <v:shape id="Down Arrow 327" o:spid="_x0000_s1038" type="#_x0000_t67" style="position:absolute;left:24288;top:17335;width:4847;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" adj="10800" fillcolor="#4f81bd [3204]" strokecolor="#243f60 [1604]" strokeweight="2pt"/>
                <v:shape id="Down Arrow 328" o:spid="_x0000_s1039" type="#_x0000_t67" style="position:absolute;left:24955;top:32004;width:4846;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" adj="10800" fillcolor="#4f81bd [3204]" strokecolor="#243f60 [1604]" strokeweight="2p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329" o:spid="_x0000_s1040" type="#_x0000_t66" style="position:absolute;left:11525;top:35718;width:2572;height:4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" adj="10800" fillcolor="#4f81bd [3204]" strokecolor="#243f60 [1604]" strokeweight="2pt"/>
                <v:shape id="Down Arrow 330" o:spid="_x0000_s1041" type="#_x0000_t67" style="position:absolute;left:3714;top:41338;width:4845;height:97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" adj="16249" fillcolor="#4f81bd [3204]" strokecolor="#243f60 [1604]" strokeweight="2pt"/>
                <v:shape id="Down Arrow 331" o:spid="_x0000_s1042" type="#_x0000_t67" style="position:absolute;left:24288;top:42386;width:4845;height:2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" adj="10800" fillcolor="#4f81bd [3204]" strokecolor="#243f60 [1604]" strokeweight="2pt"/>
                <v:shape id="Down Arrow 332" o:spid="_x0000_s1043" type="#_x0000_t67" style="position:absolute;left:24288;top:48958;width:4845;height:2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" adj="10800" fillcolor="#4f81bd [3204]" strokecolor="#243f60 [1604]" strokeweight="2pt"/>
                <v:shape id="Down Arrow 333" o:spid="_x0000_s1044" type="#_x0000_t67" style="position:absolute;left:24288;top:64389;width:4845;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" adj="10800" fillcolor="#4f81bd [3204]" strokecolor="#243f60 [1604]" strokeweight="2pt"/>
                <v:shape id="Down Arrow 334" o:spid="_x0000_s1045" type="#_x0000_t67" style="position:absolute;left:24003;top:78200;width:4845;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" adj="10800" fillcolor="#4f81bd [3204]" strokecolor="#243f60 [1604]" strokeweight="2pt"/>
              </v:group>
            </w:pict>
          </mc:Fallback>
        </mc:AlternateContent>
      </w:r>
    </w:p>
    <w:p w14:paraId="4E4F0607" w14:textId="77777777" w:rsidR="005C19B3" w:rsidRPr="001724A0" w:rsidRDefault="005C19B3" w:rsidP="005C19B3">
      <w:pPr>
        <w:pStyle w:val="ListParagraph"/>
        <w:autoSpaceDE w:val="0"/>
        <w:autoSpaceDN w:val="0"/>
        <w:adjustRightInd w:val="0"/>
        <w:spacing w:before="100" w:beforeAutospacing="1" w:after="100" w:afterAutospacing="1"/>
        <w:ind w:left="0"/>
      </w:pPr>
    </w:p>
    <w:p w14:paraId="4E4F0608" w14:textId="77777777" w:rsidR="005C19B3" w:rsidRPr="001724A0" w:rsidRDefault="005C19B3" w:rsidP="005C19B3">
      <w:pPr>
        <w:pStyle w:val="ListParagraph"/>
        <w:autoSpaceDE w:val="0"/>
        <w:autoSpaceDN w:val="0"/>
        <w:adjustRightInd w:val="0"/>
        <w:spacing w:before="100" w:beforeAutospacing="1" w:after="100" w:afterAutospacing="1"/>
        <w:ind w:left="0"/>
      </w:pPr>
    </w:p>
    <w:p w14:paraId="4E4F0609" w14:textId="77777777" w:rsidR="005C19B3" w:rsidRPr="001724A0" w:rsidRDefault="005C19B3" w:rsidP="005C19B3">
      <w:pPr>
        <w:spacing w:before="100" w:beforeAutospacing="1" w:after="100" w:afterAutospacing="1"/>
      </w:pPr>
    </w:p>
    <w:p w14:paraId="4E4F060A" w14:textId="77777777" w:rsidR="005C19B3" w:rsidRPr="001724A0" w:rsidRDefault="005C19B3" w:rsidP="005C19B3">
      <w:pPr>
        <w:spacing w:before="100" w:beforeAutospacing="1" w:after="100" w:afterAutospacing="1"/>
      </w:pPr>
    </w:p>
    <w:p w14:paraId="4E4F060B" w14:textId="77777777" w:rsidR="005C19B3" w:rsidRPr="001724A0" w:rsidRDefault="005C19B3" w:rsidP="005C19B3">
      <w:pPr>
        <w:spacing w:before="100" w:beforeAutospacing="1" w:after="100" w:afterAutospacing="1"/>
      </w:pPr>
    </w:p>
    <w:p w14:paraId="4E4F060C" w14:textId="77777777" w:rsidR="005C19B3" w:rsidRPr="001724A0" w:rsidRDefault="005C19B3" w:rsidP="005C19B3">
      <w:pPr>
        <w:spacing w:before="100" w:beforeAutospacing="1" w:after="100" w:afterAutospacing="1"/>
      </w:pPr>
    </w:p>
    <w:p w14:paraId="4E4F060D" w14:textId="77777777" w:rsidR="005C19B3" w:rsidRPr="001724A0" w:rsidRDefault="005C19B3" w:rsidP="005C19B3">
      <w:pPr>
        <w:spacing w:before="100" w:beforeAutospacing="1" w:after="100" w:afterAutospacing="1"/>
      </w:pPr>
    </w:p>
    <w:p w14:paraId="4E4F060E" w14:textId="77777777" w:rsidR="005C19B3" w:rsidRPr="001724A0" w:rsidRDefault="005C19B3" w:rsidP="005C19B3">
      <w:pPr>
        <w:spacing w:before="100" w:beforeAutospacing="1" w:after="100" w:afterAutospacing="1"/>
      </w:pPr>
    </w:p>
    <w:p w14:paraId="4E4F060F" w14:textId="77777777" w:rsidR="005C19B3" w:rsidRPr="001724A0" w:rsidRDefault="005C19B3" w:rsidP="005C19B3">
      <w:pPr>
        <w:spacing w:before="100" w:beforeAutospacing="1" w:after="100" w:afterAutospacing="1"/>
      </w:pPr>
    </w:p>
    <w:p w14:paraId="4E4F0610" w14:textId="77777777" w:rsidR="005C19B3" w:rsidRPr="001724A0" w:rsidRDefault="005C19B3" w:rsidP="005C19B3">
      <w:pPr>
        <w:spacing w:before="100" w:beforeAutospacing="1" w:after="100" w:afterAutospacing="1"/>
      </w:pPr>
    </w:p>
    <w:p w14:paraId="4E4F0611" w14:textId="77777777" w:rsidR="005C19B3" w:rsidRPr="001724A0" w:rsidRDefault="005C19B3" w:rsidP="005C19B3">
      <w:pPr>
        <w:spacing w:before="100" w:beforeAutospacing="1" w:after="100" w:afterAutospacing="1"/>
      </w:pPr>
    </w:p>
    <w:p w14:paraId="4E4F0612" w14:textId="77777777" w:rsidR="005C19B3" w:rsidRPr="001724A0" w:rsidRDefault="005C19B3" w:rsidP="005C19B3">
      <w:pPr>
        <w:spacing w:before="100" w:beforeAutospacing="1" w:after="100" w:afterAutospacing="1"/>
      </w:pPr>
    </w:p>
    <w:p w14:paraId="4E4F0613" w14:textId="77777777" w:rsidR="005C19B3" w:rsidRPr="001724A0" w:rsidRDefault="005C19B3" w:rsidP="005C19B3">
      <w:pPr>
        <w:spacing w:before="100" w:beforeAutospacing="1" w:after="100" w:afterAutospacing="1"/>
      </w:pPr>
    </w:p>
    <w:p w14:paraId="4E4F0614" w14:textId="77777777" w:rsidR="005C19B3" w:rsidRPr="001724A0" w:rsidRDefault="005C19B3" w:rsidP="005C19B3">
      <w:pPr>
        <w:spacing w:before="100" w:beforeAutospacing="1" w:after="100" w:afterAutospacing="1"/>
      </w:pPr>
    </w:p>
    <w:p w14:paraId="4E4F0615" w14:textId="77777777" w:rsidR="005C19B3" w:rsidRPr="001724A0" w:rsidRDefault="005C19B3" w:rsidP="005C19B3">
      <w:pPr>
        <w:spacing w:before="100" w:beforeAutospacing="1" w:after="100" w:afterAutospacing="1"/>
      </w:pPr>
    </w:p>
    <w:p w14:paraId="4E4F0616" w14:textId="77777777" w:rsidR="005C19B3" w:rsidRPr="001724A0" w:rsidRDefault="005C19B3" w:rsidP="00EB1ABF">
      <w:pPr>
        <w:autoSpaceDE w:val="0"/>
        <w:autoSpaceDN w:val="0"/>
        <w:adjustRightInd w:val="0"/>
        <w:ind w:left="567"/>
        <w:rPr>
          <w:rFonts w:cs="Arial"/>
        </w:rPr>
      </w:pPr>
    </w:p>
    <w:p w14:paraId="4E4F0617" w14:textId="77777777" w:rsidR="005C19B3" w:rsidRPr="001724A0" w:rsidRDefault="005C19B3" w:rsidP="00EB1ABF">
      <w:pPr>
        <w:autoSpaceDE w:val="0"/>
        <w:autoSpaceDN w:val="0"/>
        <w:adjustRightInd w:val="0"/>
        <w:ind w:left="567"/>
        <w:rPr>
          <w:rFonts w:cs="Arial"/>
        </w:rPr>
      </w:pPr>
    </w:p>
    <w:p w14:paraId="4E4F0618" w14:textId="77777777" w:rsidR="005C19B3" w:rsidRPr="001724A0" w:rsidRDefault="005C19B3" w:rsidP="00EB1ABF">
      <w:pPr>
        <w:autoSpaceDE w:val="0"/>
        <w:autoSpaceDN w:val="0"/>
        <w:adjustRightInd w:val="0"/>
        <w:ind w:left="567"/>
        <w:rPr>
          <w:rFonts w:cs="Arial"/>
        </w:rPr>
      </w:pPr>
    </w:p>
    <w:p w14:paraId="4E4F0619" w14:textId="77777777" w:rsidR="005C19B3" w:rsidRPr="001724A0" w:rsidRDefault="005C19B3" w:rsidP="00EB1ABF">
      <w:pPr>
        <w:autoSpaceDE w:val="0"/>
        <w:autoSpaceDN w:val="0"/>
        <w:adjustRightInd w:val="0"/>
        <w:ind w:left="567"/>
        <w:rPr>
          <w:rFonts w:cs="Arial"/>
        </w:rPr>
      </w:pPr>
    </w:p>
    <w:p w14:paraId="619240C9" w14:textId="77777777" w:rsidR="00AF62EC" w:rsidRDefault="00AF62EC" w:rsidP="005C19B3">
      <w:pPr>
        <w:pStyle w:val="Heading1"/>
        <w:rPr>
          <w:rFonts w:cs="Arial"/>
          <w:color w:val="auto"/>
        </w:rPr>
      </w:pPr>
      <w:bookmarkStart w:id="90" w:name="_Toc532466664"/>
    </w:p>
    <w:p w14:paraId="0BC0296A" w14:textId="77777777" w:rsidR="00AF62EC" w:rsidRDefault="00AF62EC" w:rsidP="005C19B3">
      <w:pPr>
        <w:pStyle w:val="Heading1"/>
        <w:rPr>
          <w:rFonts w:cs="Arial"/>
          <w:color w:val="auto"/>
        </w:rPr>
      </w:pPr>
    </w:p>
    <w:p w14:paraId="6972E6F2" w14:textId="77777777" w:rsidR="00AF62EC" w:rsidRDefault="00AF62EC" w:rsidP="005C19B3">
      <w:pPr>
        <w:pStyle w:val="Heading1"/>
        <w:rPr>
          <w:rFonts w:cs="Arial"/>
          <w:color w:val="auto"/>
        </w:rPr>
      </w:pPr>
    </w:p>
    <w:p w14:paraId="4E4F0623" w14:textId="1D65E79B" w:rsidR="005C19B3" w:rsidRPr="001724A0" w:rsidRDefault="00603EB2" w:rsidP="005C19B3">
      <w:pPr>
        <w:pStyle w:val="Heading1"/>
        <w:rPr>
          <w:rFonts w:cs="Arial"/>
          <w:color w:val="auto"/>
        </w:rPr>
      </w:pPr>
      <w:r>
        <w:rPr>
          <w:rFonts w:cs="Arial"/>
          <w:color w:val="auto"/>
        </w:rPr>
        <w:t>A</w:t>
      </w:r>
      <w:r w:rsidR="005C19B3" w:rsidRPr="001724A0">
        <w:rPr>
          <w:rFonts w:cs="Arial"/>
          <w:color w:val="auto"/>
        </w:rPr>
        <w:t>ppendix 3</w:t>
      </w:r>
      <w:bookmarkEnd w:id="90"/>
      <w:r w:rsidR="005C19B3" w:rsidRPr="001724A0">
        <w:rPr>
          <w:rFonts w:cs="Arial"/>
          <w:color w:val="auto"/>
        </w:rPr>
        <w:t xml:space="preserve"> </w:t>
      </w:r>
    </w:p>
    <w:p w14:paraId="4E4F0624" w14:textId="77777777" w:rsidR="005221C9" w:rsidRPr="005221C9" w:rsidRDefault="005221C9" w:rsidP="005221C9">
      <w:pPr>
        <w:spacing w:before="100" w:beforeAutospacing="1" w:after="100" w:afterAutospacing="1"/>
        <w:jc w:val="center"/>
        <w:rPr>
          <w:b/>
        </w:rPr>
      </w:pPr>
      <w:r w:rsidRPr="005221C9">
        <w:rPr>
          <w:b/>
        </w:rPr>
        <w:t xml:space="preserve">STRICTLY CONFIDENTIAL – To be shared with the MLRO </w:t>
      </w:r>
      <w:proofErr w:type="gramStart"/>
      <w:r w:rsidRPr="005221C9">
        <w:rPr>
          <w:b/>
        </w:rPr>
        <w:t>only</w:t>
      </w:r>
      <w:proofErr w:type="gramEnd"/>
    </w:p>
    <w:p w14:paraId="4E4F0625" w14:textId="77777777" w:rsidR="003B6AFA" w:rsidRPr="001724A0" w:rsidRDefault="005221C9" w:rsidP="005221C9">
      <w:pPr>
        <w:spacing w:before="100" w:beforeAutospacing="1" w:after="100" w:afterAutospacing="1"/>
        <w:jc w:val="center"/>
        <w:rPr>
          <w:b/>
        </w:rPr>
      </w:pPr>
      <w:r w:rsidRPr="005221C9">
        <w:rPr>
          <w:b/>
        </w:rPr>
        <w:t xml:space="preserve">Do not save a copy of this form on any database or client </w:t>
      </w:r>
      <w:proofErr w:type="gramStart"/>
      <w:r w:rsidRPr="005221C9">
        <w:rPr>
          <w:b/>
        </w:rPr>
        <w:t>file</w:t>
      </w:r>
      <w:proofErr w:type="gramEnd"/>
    </w:p>
    <w:tbl>
      <w:tblPr>
        <w:tblStyle w:val="TableGrid1"/>
        <w:tblW w:w="0" w:type="auto"/>
        <w:tblLook w:val="04A0" w:firstRow="1" w:lastRow="0" w:firstColumn="1" w:lastColumn="0" w:noHBand="0" w:noVBand="1"/>
      </w:tblPr>
      <w:tblGrid>
        <w:gridCol w:w="4520"/>
        <w:gridCol w:w="4496"/>
      </w:tblGrid>
      <w:tr w:rsidR="001724A0" w:rsidRPr="001724A0" w14:paraId="4E4F0627" w14:textId="77777777" w:rsidTr="00B80531">
        <w:tc>
          <w:tcPr>
            <w:tcW w:w="9242" w:type="dxa"/>
            <w:gridSpan w:val="2"/>
            <w:shd w:val="clear" w:color="auto" w:fill="92CDDC" w:themeFill="accent5" w:themeFillTint="99"/>
          </w:tcPr>
          <w:p w14:paraId="4E4F0626" w14:textId="77777777" w:rsidR="003B6AFA" w:rsidRPr="001724A0" w:rsidRDefault="003B6AFA" w:rsidP="00B80531">
            <w:pPr>
              <w:spacing w:before="100" w:beforeAutospacing="1" w:after="100" w:afterAutospacing="1"/>
            </w:pPr>
            <w:r w:rsidRPr="001724A0">
              <w:rPr>
                <w:b/>
              </w:rPr>
              <w:t>Report to Money Laundering Reporting Officer</w:t>
            </w:r>
          </w:p>
        </w:tc>
      </w:tr>
      <w:tr w:rsidR="001724A0" w:rsidRPr="001724A0" w14:paraId="4E4F062A" w14:textId="77777777" w:rsidTr="00B80531">
        <w:tc>
          <w:tcPr>
            <w:tcW w:w="4621" w:type="dxa"/>
          </w:tcPr>
          <w:p w14:paraId="4E4F0628" w14:textId="77777777" w:rsidR="003B6AFA" w:rsidRPr="001724A0" w:rsidRDefault="003B6AFA" w:rsidP="00B80531">
            <w:pPr>
              <w:spacing w:before="100" w:beforeAutospacing="1" w:after="100" w:afterAutospacing="1"/>
            </w:pPr>
            <w:r w:rsidRPr="001724A0">
              <w:t>Staff Members name</w:t>
            </w:r>
          </w:p>
        </w:tc>
        <w:tc>
          <w:tcPr>
            <w:tcW w:w="4621" w:type="dxa"/>
          </w:tcPr>
          <w:p w14:paraId="4E4F0629" w14:textId="77777777" w:rsidR="003B6AFA" w:rsidRPr="001724A0" w:rsidRDefault="003B6AFA" w:rsidP="00B80531">
            <w:pPr>
              <w:spacing w:before="100" w:beforeAutospacing="1" w:after="100" w:afterAutospacing="1"/>
            </w:pPr>
          </w:p>
        </w:tc>
      </w:tr>
      <w:tr w:rsidR="001724A0" w:rsidRPr="001724A0" w14:paraId="4E4F062D" w14:textId="77777777" w:rsidTr="00B80531">
        <w:tc>
          <w:tcPr>
            <w:tcW w:w="4621" w:type="dxa"/>
          </w:tcPr>
          <w:p w14:paraId="4E4F062B" w14:textId="77777777" w:rsidR="003B6AFA" w:rsidRPr="001724A0" w:rsidRDefault="003B6AFA" w:rsidP="00B80531">
            <w:pPr>
              <w:spacing w:before="100" w:beforeAutospacing="1" w:after="100" w:afterAutospacing="1"/>
            </w:pPr>
            <w:r w:rsidRPr="001724A0">
              <w:t>Title/Department</w:t>
            </w:r>
          </w:p>
        </w:tc>
        <w:tc>
          <w:tcPr>
            <w:tcW w:w="4621" w:type="dxa"/>
          </w:tcPr>
          <w:p w14:paraId="4E4F062C" w14:textId="77777777" w:rsidR="003B6AFA" w:rsidRPr="001724A0" w:rsidRDefault="003B6AFA" w:rsidP="00B80531">
            <w:pPr>
              <w:spacing w:before="100" w:beforeAutospacing="1" w:after="100" w:afterAutospacing="1"/>
            </w:pPr>
          </w:p>
        </w:tc>
      </w:tr>
      <w:tr w:rsidR="001724A0" w:rsidRPr="001724A0" w14:paraId="4E4F0630" w14:textId="77777777" w:rsidTr="00B80531">
        <w:tc>
          <w:tcPr>
            <w:tcW w:w="4621" w:type="dxa"/>
          </w:tcPr>
          <w:p w14:paraId="4E4F062E" w14:textId="77777777" w:rsidR="003B6AFA" w:rsidRPr="001724A0" w:rsidRDefault="003B6AFA" w:rsidP="00B80531">
            <w:pPr>
              <w:spacing w:before="100" w:beforeAutospacing="1" w:after="100" w:afterAutospacing="1"/>
            </w:pPr>
            <w:r w:rsidRPr="001724A0">
              <w:t>Phone</w:t>
            </w:r>
          </w:p>
        </w:tc>
        <w:tc>
          <w:tcPr>
            <w:tcW w:w="4621" w:type="dxa"/>
          </w:tcPr>
          <w:p w14:paraId="4E4F062F" w14:textId="77777777" w:rsidR="003B6AFA" w:rsidRPr="001724A0" w:rsidRDefault="003B6AFA" w:rsidP="00B80531">
            <w:pPr>
              <w:spacing w:before="100" w:beforeAutospacing="1" w:after="100" w:afterAutospacing="1"/>
            </w:pPr>
          </w:p>
        </w:tc>
      </w:tr>
      <w:tr w:rsidR="001724A0" w:rsidRPr="001724A0" w14:paraId="4E4F0633" w14:textId="77777777" w:rsidTr="00B80531">
        <w:tc>
          <w:tcPr>
            <w:tcW w:w="4621" w:type="dxa"/>
            <w:tcBorders>
              <w:bottom w:val="single" w:sz="4" w:space="0" w:color="auto"/>
            </w:tcBorders>
          </w:tcPr>
          <w:p w14:paraId="4E4F0631" w14:textId="77777777" w:rsidR="003B6AFA" w:rsidRPr="001724A0" w:rsidRDefault="003B6AFA" w:rsidP="00B80531">
            <w:pPr>
              <w:spacing w:before="100" w:beforeAutospacing="1" w:after="100" w:afterAutospacing="1"/>
            </w:pPr>
            <w:r w:rsidRPr="001724A0">
              <w:t>E Mail</w:t>
            </w:r>
          </w:p>
        </w:tc>
        <w:tc>
          <w:tcPr>
            <w:tcW w:w="4621" w:type="dxa"/>
            <w:tcBorders>
              <w:bottom w:val="single" w:sz="4" w:space="0" w:color="auto"/>
            </w:tcBorders>
          </w:tcPr>
          <w:p w14:paraId="4E4F0632" w14:textId="77777777" w:rsidR="003B6AFA" w:rsidRPr="001724A0" w:rsidRDefault="003B6AFA" w:rsidP="00B80531">
            <w:pPr>
              <w:spacing w:before="100" w:beforeAutospacing="1" w:after="100" w:afterAutospacing="1"/>
            </w:pPr>
          </w:p>
        </w:tc>
      </w:tr>
      <w:tr w:rsidR="001724A0" w:rsidRPr="001724A0" w14:paraId="4E4F0635" w14:textId="77777777" w:rsidTr="00B80531">
        <w:tc>
          <w:tcPr>
            <w:tcW w:w="9242" w:type="dxa"/>
            <w:gridSpan w:val="2"/>
            <w:shd w:val="clear" w:color="auto" w:fill="92CDDC" w:themeFill="accent5" w:themeFillTint="99"/>
          </w:tcPr>
          <w:p w14:paraId="4E4F0634" w14:textId="77777777" w:rsidR="003B6AFA" w:rsidRPr="001724A0" w:rsidRDefault="003B6AFA" w:rsidP="00B80531">
            <w:pPr>
              <w:spacing w:before="100" w:beforeAutospacing="1" w:after="100" w:afterAutospacing="1"/>
            </w:pPr>
            <w:r w:rsidRPr="001724A0">
              <w:rPr>
                <w:b/>
              </w:rPr>
              <w:t>Details of Suspected Offence</w:t>
            </w:r>
          </w:p>
        </w:tc>
      </w:tr>
      <w:tr w:rsidR="001724A0" w:rsidRPr="001724A0" w14:paraId="4E4F0638" w14:textId="77777777" w:rsidTr="00B80531">
        <w:trPr>
          <w:trHeight w:val="1840"/>
        </w:trPr>
        <w:tc>
          <w:tcPr>
            <w:tcW w:w="4621" w:type="dxa"/>
          </w:tcPr>
          <w:p w14:paraId="4E4F0636" w14:textId="77777777" w:rsidR="003B6AFA" w:rsidRPr="001724A0" w:rsidRDefault="003B6AFA" w:rsidP="00B80531">
            <w:pPr>
              <w:spacing w:before="100" w:beforeAutospacing="1" w:after="100" w:afterAutospacing="1"/>
            </w:pPr>
            <w:r w:rsidRPr="001724A0">
              <w:t>Names and addresses of the persons involved (if a company the nature of their business).</w:t>
            </w:r>
          </w:p>
        </w:tc>
        <w:tc>
          <w:tcPr>
            <w:tcW w:w="4621" w:type="dxa"/>
          </w:tcPr>
          <w:p w14:paraId="4E4F0637" w14:textId="77777777" w:rsidR="003B6AFA" w:rsidRPr="001724A0" w:rsidRDefault="003B6AFA" w:rsidP="00B80531">
            <w:pPr>
              <w:spacing w:before="100" w:beforeAutospacing="1" w:after="100" w:afterAutospacing="1"/>
            </w:pPr>
          </w:p>
        </w:tc>
      </w:tr>
      <w:tr w:rsidR="001724A0" w:rsidRPr="001724A0" w14:paraId="4E4F063C" w14:textId="77777777" w:rsidTr="00B80531">
        <w:trPr>
          <w:trHeight w:val="988"/>
        </w:trPr>
        <w:tc>
          <w:tcPr>
            <w:tcW w:w="4621" w:type="dxa"/>
          </w:tcPr>
          <w:p w14:paraId="4E4F0639" w14:textId="77777777" w:rsidR="003B6AFA" w:rsidRPr="001724A0" w:rsidRDefault="003B6AFA" w:rsidP="00B80531">
            <w:pPr>
              <w:spacing w:before="100" w:beforeAutospacing="1" w:after="100" w:afterAutospacing="1"/>
            </w:pPr>
            <w:r w:rsidRPr="001724A0">
              <w:t>Nature, value, timing of activity involved.</w:t>
            </w:r>
          </w:p>
          <w:p w14:paraId="4E4F063A" w14:textId="77777777" w:rsidR="003B6AFA" w:rsidRPr="001724A0" w:rsidRDefault="003B6AFA" w:rsidP="00B80531">
            <w:pPr>
              <w:spacing w:before="100" w:beforeAutospacing="1" w:after="100" w:afterAutospacing="1"/>
            </w:pPr>
          </w:p>
        </w:tc>
        <w:tc>
          <w:tcPr>
            <w:tcW w:w="4621" w:type="dxa"/>
          </w:tcPr>
          <w:p w14:paraId="4E4F063B" w14:textId="77777777" w:rsidR="003B6AFA" w:rsidRPr="001724A0" w:rsidRDefault="003B6AFA" w:rsidP="00B80531">
            <w:pPr>
              <w:spacing w:before="100" w:beforeAutospacing="1" w:after="100" w:afterAutospacing="1"/>
            </w:pPr>
          </w:p>
        </w:tc>
      </w:tr>
      <w:tr w:rsidR="001724A0" w:rsidRPr="001724A0" w14:paraId="4E4F0640" w14:textId="77777777" w:rsidTr="00B80531">
        <w:tc>
          <w:tcPr>
            <w:tcW w:w="4621" w:type="dxa"/>
          </w:tcPr>
          <w:p w14:paraId="4E4F063D" w14:textId="77777777" w:rsidR="003B6AFA" w:rsidRPr="001724A0" w:rsidRDefault="003B6AFA" w:rsidP="00B80531">
            <w:pPr>
              <w:spacing w:before="100" w:beforeAutospacing="1" w:after="100" w:afterAutospacing="1"/>
            </w:pPr>
            <w:r w:rsidRPr="001724A0">
              <w:t>Nature of suspicions regarding such activity.</w:t>
            </w:r>
          </w:p>
          <w:p w14:paraId="4E4F063E" w14:textId="77777777" w:rsidR="003B6AFA" w:rsidRPr="001724A0" w:rsidRDefault="003B6AFA" w:rsidP="00B80531">
            <w:pPr>
              <w:spacing w:before="100" w:beforeAutospacing="1" w:after="100" w:afterAutospacing="1"/>
            </w:pPr>
          </w:p>
        </w:tc>
        <w:tc>
          <w:tcPr>
            <w:tcW w:w="4621" w:type="dxa"/>
          </w:tcPr>
          <w:p w14:paraId="4E4F063F" w14:textId="77777777" w:rsidR="003B6AFA" w:rsidRPr="001724A0" w:rsidRDefault="003B6AFA" w:rsidP="00B80531">
            <w:pPr>
              <w:spacing w:before="100" w:beforeAutospacing="1" w:after="100" w:afterAutospacing="1"/>
            </w:pPr>
          </w:p>
        </w:tc>
      </w:tr>
      <w:tr w:rsidR="001724A0" w:rsidRPr="001724A0" w14:paraId="4E4F0646" w14:textId="77777777" w:rsidTr="00B80531">
        <w:tc>
          <w:tcPr>
            <w:tcW w:w="4621" w:type="dxa"/>
          </w:tcPr>
          <w:p w14:paraId="4E4F0641" w14:textId="77777777" w:rsidR="003B6AFA" w:rsidRPr="001724A0" w:rsidRDefault="003B6AFA" w:rsidP="00B80531">
            <w:pPr>
              <w:spacing w:before="100" w:beforeAutospacing="1" w:after="100" w:afterAutospacing="1"/>
            </w:pPr>
            <w:r w:rsidRPr="001724A0">
              <w:t>Has any investigation been undertaken? (as far as you are aware)</w:t>
            </w:r>
          </w:p>
          <w:p w14:paraId="4E4F0642" w14:textId="77777777" w:rsidR="003B6AFA" w:rsidRPr="001724A0" w:rsidRDefault="003B6AFA" w:rsidP="00B80531">
            <w:pPr>
              <w:spacing w:before="100" w:beforeAutospacing="1" w:after="100" w:afterAutospacing="1"/>
            </w:pPr>
          </w:p>
          <w:p w14:paraId="4E4F0643" w14:textId="77777777" w:rsidR="003B6AFA" w:rsidRPr="001724A0" w:rsidRDefault="003B6AFA" w:rsidP="00B80531">
            <w:pPr>
              <w:spacing w:before="100" w:beforeAutospacing="1" w:after="100" w:afterAutospacing="1"/>
            </w:pPr>
          </w:p>
        </w:tc>
        <w:tc>
          <w:tcPr>
            <w:tcW w:w="4621" w:type="dxa"/>
          </w:tcPr>
          <w:p w14:paraId="4E4F0644" w14:textId="77777777" w:rsidR="003B6AFA" w:rsidRPr="001724A0" w:rsidRDefault="003B6AFA" w:rsidP="00B80531">
            <w:pPr>
              <w:spacing w:before="100" w:beforeAutospacing="1" w:after="100" w:afterAutospacing="1"/>
            </w:pPr>
            <w:r w:rsidRPr="001724A0">
              <w:t>Yes/No</w:t>
            </w:r>
          </w:p>
          <w:p w14:paraId="4E4F0645" w14:textId="77777777" w:rsidR="003B6AFA" w:rsidRPr="001724A0" w:rsidRDefault="003B6AFA" w:rsidP="00B80531">
            <w:pPr>
              <w:spacing w:before="100" w:beforeAutospacing="1" w:after="100" w:afterAutospacing="1"/>
            </w:pPr>
            <w:r w:rsidRPr="001724A0">
              <w:t>Delete as necessary. (If yes further details)</w:t>
            </w:r>
          </w:p>
        </w:tc>
      </w:tr>
      <w:tr w:rsidR="001724A0" w:rsidRPr="001724A0" w14:paraId="4E4F064B" w14:textId="77777777" w:rsidTr="00B80531">
        <w:tc>
          <w:tcPr>
            <w:tcW w:w="4621" w:type="dxa"/>
          </w:tcPr>
          <w:p w14:paraId="4E4F0647" w14:textId="77777777" w:rsidR="003B6AFA" w:rsidRPr="001724A0" w:rsidRDefault="003B6AFA" w:rsidP="00B80531">
            <w:pPr>
              <w:spacing w:before="100" w:beforeAutospacing="1" w:after="100" w:afterAutospacing="1"/>
            </w:pPr>
            <w:r w:rsidRPr="001724A0">
              <w:t>Have you discussed your suspicions with anyone else?</w:t>
            </w:r>
          </w:p>
          <w:p w14:paraId="4E4F0648" w14:textId="77777777" w:rsidR="003B6AFA" w:rsidRPr="001724A0" w:rsidRDefault="003B6AFA" w:rsidP="00B80531">
            <w:pPr>
              <w:spacing w:before="100" w:beforeAutospacing="1" w:after="100" w:afterAutospacing="1"/>
            </w:pPr>
          </w:p>
        </w:tc>
        <w:tc>
          <w:tcPr>
            <w:tcW w:w="4621" w:type="dxa"/>
          </w:tcPr>
          <w:p w14:paraId="4E4F0649" w14:textId="77777777" w:rsidR="003B6AFA" w:rsidRPr="001724A0" w:rsidRDefault="003B6AFA" w:rsidP="00B80531">
            <w:pPr>
              <w:spacing w:before="100" w:beforeAutospacing="1" w:after="100" w:afterAutospacing="1"/>
            </w:pPr>
            <w:r w:rsidRPr="001724A0">
              <w:t>Yes/No</w:t>
            </w:r>
          </w:p>
          <w:p w14:paraId="4E4F064A" w14:textId="77777777" w:rsidR="003B6AFA" w:rsidRPr="001724A0" w:rsidRDefault="003B6AFA" w:rsidP="00B80531">
            <w:pPr>
              <w:spacing w:before="100" w:beforeAutospacing="1" w:after="100" w:afterAutospacing="1"/>
            </w:pPr>
            <w:r w:rsidRPr="001724A0">
              <w:t>Delete as necessary. (If yes further details)</w:t>
            </w:r>
          </w:p>
        </w:tc>
      </w:tr>
      <w:tr w:rsidR="001724A0" w:rsidRPr="001724A0" w14:paraId="4E4F0650" w14:textId="77777777" w:rsidTr="00B80531">
        <w:tc>
          <w:tcPr>
            <w:tcW w:w="4621" w:type="dxa"/>
          </w:tcPr>
          <w:p w14:paraId="4E4F064C" w14:textId="77777777" w:rsidR="003B6AFA" w:rsidRPr="001724A0" w:rsidRDefault="003B6AFA" w:rsidP="00B80531">
            <w:pPr>
              <w:spacing w:before="100" w:beforeAutospacing="1" w:after="100" w:afterAutospacing="1"/>
            </w:pPr>
            <w:r w:rsidRPr="001724A0">
              <w:t xml:space="preserve">Have you consulted any supervisory body guidance re money laundering? </w:t>
            </w:r>
          </w:p>
          <w:p w14:paraId="4E4F064D" w14:textId="77777777" w:rsidR="003B6AFA" w:rsidRPr="001724A0" w:rsidRDefault="003B6AFA" w:rsidP="00E944CD">
            <w:pPr>
              <w:spacing w:before="100" w:beforeAutospacing="1" w:after="100" w:afterAutospacing="1"/>
            </w:pPr>
            <w:r w:rsidRPr="001724A0">
              <w:t>(e.g. the Law Society)</w:t>
            </w:r>
          </w:p>
        </w:tc>
        <w:tc>
          <w:tcPr>
            <w:tcW w:w="4621" w:type="dxa"/>
          </w:tcPr>
          <w:p w14:paraId="4E4F064E" w14:textId="77777777" w:rsidR="003B6AFA" w:rsidRPr="001724A0" w:rsidRDefault="003B6AFA" w:rsidP="00B80531">
            <w:pPr>
              <w:spacing w:before="100" w:beforeAutospacing="1" w:after="100" w:afterAutospacing="1"/>
            </w:pPr>
            <w:r w:rsidRPr="001724A0">
              <w:t>Yes/No</w:t>
            </w:r>
          </w:p>
          <w:p w14:paraId="4E4F064F" w14:textId="77777777" w:rsidR="003B6AFA" w:rsidRPr="001724A0" w:rsidRDefault="003B6AFA" w:rsidP="00B80531">
            <w:pPr>
              <w:spacing w:before="100" w:beforeAutospacing="1" w:after="100" w:afterAutospacing="1"/>
            </w:pPr>
            <w:r w:rsidRPr="001724A0">
              <w:t>Delete as necessary. (If yes further details)</w:t>
            </w:r>
          </w:p>
        </w:tc>
      </w:tr>
      <w:tr w:rsidR="001724A0" w:rsidRPr="001724A0" w14:paraId="4E4F0654" w14:textId="77777777" w:rsidTr="00B80531">
        <w:tc>
          <w:tcPr>
            <w:tcW w:w="4621" w:type="dxa"/>
          </w:tcPr>
          <w:p w14:paraId="4E4F0651" w14:textId="77777777" w:rsidR="003B6AFA" w:rsidRPr="001724A0" w:rsidRDefault="003B6AFA" w:rsidP="00E944CD">
            <w:pPr>
              <w:spacing w:before="100" w:beforeAutospacing="1" w:after="100" w:afterAutospacing="1"/>
            </w:pPr>
            <w:r w:rsidRPr="001724A0">
              <w:lastRenderedPageBreak/>
              <w:t>Do you feel you have a reasonable excuse for not disclosing the matter to the NCA?</w:t>
            </w:r>
          </w:p>
        </w:tc>
        <w:tc>
          <w:tcPr>
            <w:tcW w:w="4621" w:type="dxa"/>
          </w:tcPr>
          <w:p w14:paraId="4E4F0652" w14:textId="77777777" w:rsidR="003B6AFA" w:rsidRPr="001724A0" w:rsidRDefault="003B6AFA" w:rsidP="00B80531">
            <w:pPr>
              <w:spacing w:before="100" w:beforeAutospacing="1" w:after="100" w:afterAutospacing="1"/>
            </w:pPr>
            <w:r w:rsidRPr="001724A0">
              <w:t>Yes/No</w:t>
            </w:r>
          </w:p>
          <w:p w14:paraId="4E4F0653" w14:textId="77777777" w:rsidR="003B6AFA" w:rsidRPr="001724A0" w:rsidRDefault="003B6AFA" w:rsidP="00B80531">
            <w:pPr>
              <w:spacing w:before="100" w:beforeAutospacing="1" w:after="100" w:afterAutospacing="1"/>
            </w:pPr>
            <w:r w:rsidRPr="001724A0">
              <w:t>Delete as necessary. (If yes further details)</w:t>
            </w:r>
          </w:p>
        </w:tc>
      </w:tr>
      <w:tr w:rsidR="001724A0" w:rsidRPr="001724A0" w14:paraId="4E4F0658" w14:textId="77777777" w:rsidTr="00B80531">
        <w:tc>
          <w:tcPr>
            <w:tcW w:w="4621" w:type="dxa"/>
          </w:tcPr>
          <w:p w14:paraId="4E4F0655" w14:textId="77777777" w:rsidR="003B6AFA" w:rsidRPr="001724A0" w:rsidRDefault="003B6AFA" w:rsidP="00B80531">
            <w:pPr>
              <w:spacing w:before="100" w:beforeAutospacing="1" w:after="100" w:afterAutospacing="1"/>
            </w:pPr>
          </w:p>
          <w:p w14:paraId="4E4F0656" w14:textId="77777777" w:rsidR="003B6AFA" w:rsidRPr="001724A0" w:rsidRDefault="003B6AFA" w:rsidP="00B80531">
            <w:pPr>
              <w:spacing w:before="100" w:beforeAutospacing="1" w:after="100" w:afterAutospacing="1"/>
            </w:pPr>
            <w:r w:rsidRPr="001724A0">
              <w:t>Signed</w:t>
            </w:r>
          </w:p>
        </w:tc>
        <w:tc>
          <w:tcPr>
            <w:tcW w:w="4621" w:type="dxa"/>
          </w:tcPr>
          <w:p w14:paraId="4E4F0657" w14:textId="77777777" w:rsidR="003B6AFA" w:rsidRPr="001724A0" w:rsidRDefault="003B6AFA" w:rsidP="00B80531">
            <w:pPr>
              <w:spacing w:before="100" w:beforeAutospacing="1" w:after="100" w:afterAutospacing="1"/>
            </w:pPr>
          </w:p>
        </w:tc>
      </w:tr>
      <w:tr w:rsidR="001724A0" w:rsidRPr="001724A0" w14:paraId="4E4F065B" w14:textId="77777777" w:rsidTr="00E944CD">
        <w:trPr>
          <w:trHeight w:val="630"/>
        </w:trPr>
        <w:tc>
          <w:tcPr>
            <w:tcW w:w="4621" w:type="dxa"/>
            <w:tcBorders>
              <w:bottom w:val="single" w:sz="4" w:space="0" w:color="auto"/>
            </w:tcBorders>
          </w:tcPr>
          <w:p w14:paraId="4E4F0659" w14:textId="77777777" w:rsidR="00E944CD" w:rsidRPr="001724A0" w:rsidRDefault="003B6AFA" w:rsidP="00B80531">
            <w:pPr>
              <w:spacing w:before="100" w:beforeAutospacing="1" w:after="100" w:afterAutospacing="1"/>
            </w:pPr>
            <w:r w:rsidRPr="001724A0">
              <w:t>Dated</w:t>
            </w:r>
          </w:p>
        </w:tc>
        <w:tc>
          <w:tcPr>
            <w:tcW w:w="4621" w:type="dxa"/>
            <w:tcBorders>
              <w:bottom w:val="single" w:sz="4" w:space="0" w:color="auto"/>
            </w:tcBorders>
          </w:tcPr>
          <w:p w14:paraId="4E4F065A" w14:textId="77777777" w:rsidR="003B6AFA" w:rsidRPr="001724A0" w:rsidRDefault="003B6AFA" w:rsidP="00B80531">
            <w:pPr>
              <w:spacing w:before="100" w:beforeAutospacing="1" w:after="100" w:afterAutospacing="1"/>
            </w:pPr>
          </w:p>
        </w:tc>
      </w:tr>
      <w:tr w:rsidR="001724A0" w:rsidRPr="001724A0" w14:paraId="4E4F065D" w14:textId="77777777" w:rsidTr="00B80531">
        <w:tc>
          <w:tcPr>
            <w:tcW w:w="9242" w:type="dxa"/>
            <w:gridSpan w:val="2"/>
            <w:shd w:val="clear" w:color="auto" w:fill="92CDDC" w:themeFill="accent5" w:themeFillTint="99"/>
          </w:tcPr>
          <w:p w14:paraId="4E4F065C" w14:textId="77777777" w:rsidR="003B6AFA" w:rsidRPr="001724A0" w:rsidRDefault="003B6AFA" w:rsidP="00B80531">
            <w:pPr>
              <w:spacing w:before="100" w:beforeAutospacing="1" w:after="100" w:afterAutospacing="1"/>
            </w:pPr>
            <w:r w:rsidRPr="001724A0">
              <w:rPr>
                <w:b/>
              </w:rPr>
              <w:t>For Completion by the MLRO</w:t>
            </w:r>
          </w:p>
        </w:tc>
      </w:tr>
      <w:tr w:rsidR="001724A0" w:rsidRPr="001724A0" w14:paraId="4E4F0660" w14:textId="77777777" w:rsidTr="00B80531">
        <w:tc>
          <w:tcPr>
            <w:tcW w:w="4621" w:type="dxa"/>
          </w:tcPr>
          <w:p w14:paraId="4E4F065E" w14:textId="77777777" w:rsidR="003B6AFA" w:rsidRPr="001724A0" w:rsidRDefault="003B6AFA" w:rsidP="00B80531">
            <w:pPr>
              <w:spacing w:before="100" w:beforeAutospacing="1" w:after="100" w:afterAutospacing="1"/>
            </w:pPr>
            <w:r w:rsidRPr="001724A0">
              <w:t xml:space="preserve">Date received </w:t>
            </w:r>
          </w:p>
        </w:tc>
        <w:tc>
          <w:tcPr>
            <w:tcW w:w="4621" w:type="dxa"/>
          </w:tcPr>
          <w:p w14:paraId="4E4F065F" w14:textId="77777777" w:rsidR="003B6AFA" w:rsidRPr="001724A0" w:rsidRDefault="003B6AFA" w:rsidP="00B80531">
            <w:pPr>
              <w:spacing w:before="100" w:beforeAutospacing="1" w:after="100" w:afterAutospacing="1"/>
            </w:pPr>
          </w:p>
        </w:tc>
      </w:tr>
      <w:tr w:rsidR="001724A0" w:rsidRPr="001724A0" w14:paraId="4E4F0663" w14:textId="77777777" w:rsidTr="00B80531">
        <w:tc>
          <w:tcPr>
            <w:tcW w:w="4621" w:type="dxa"/>
            <w:tcBorders>
              <w:bottom w:val="single" w:sz="4" w:space="0" w:color="auto"/>
            </w:tcBorders>
          </w:tcPr>
          <w:p w14:paraId="4E4F0661" w14:textId="77777777" w:rsidR="003B6AFA" w:rsidRPr="001724A0" w:rsidRDefault="003B6AFA" w:rsidP="00B80531">
            <w:pPr>
              <w:spacing w:before="100" w:beforeAutospacing="1" w:after="100" w:afterAutospacing="1"/>
            </w:pPr>
            <w:r w:rsidRPr="001724A0">
              <w:t>Date acknowledged</w:t>
            </w:r>
          </w:p>
        </w:tc>
        <w:tc>
          <w:tcPr>
            <w:tcW w:w="4621" w:type="dxa"/>
            <w:tcBorders>
              <w:bottom w:val="single" w:sz="4" w:space="0" w:color="auto"/>
            </w:tcBorders>
          </w:tcPr>
          <w:p w14:paraId="4E4F0662" w14:textId="77777777" w:rsidR="003B6AFA" w:rsidRPr="001724A0" w:rsidRDefault="003B6AFA" w:rsidP="00B80531">
            <w:pPr>
              <w:spacing w:before="100" w:beforeAutospacing="1" w:after="100" w:afterAutospacing="1"/>
            </w:pPr>
          </w:p>
        </w:tc>
      </w:tr>
      <w:tr w:rsidR="001724A0" w:rsidRPr="001724A0" w14:paraId="4E4F0665" w14:textId="77777777" w:rsidTr="00B80531">
        <w:tc>
          <w:tcPr>
            <w:tcW w:w="9242" w:type="dxa"/>
            <w:gridSpan w:val="2"/>
            <w:shd w:val="clear" w:color="auto" w:fill="92CDDC" w:themeFill="accent5" w:themeFillTint="99"/>
          </w:tcPr>
          <w:p w14:paraId="4E4F0664" w14:textId="77777777" w:rsidR="003B6AFA" w:rsidRPr="001724A0" w:rsidRDefault="003B6AFA" w:rsidP="00B80531">
            <w:pPr>
              <w:spacing w:before="100" w:beforeAutospacing="1" w:after="100" w:afterAutospacing="1"/>
            </w:pPr>
            <w:r w:rsidRPr="001724A0">
              <w:rPr>
                <w:b/>
              </w:rPr>
              <w:t>Outcome of Consideration of Disclosure</w:t>
            </w:r>
          </w:p>
        </w:tc>
      </w:tr>
      <w:tr w:rsidR="001724A0" w:rsidRPr="001724A0" w14:paraId="4E4F066A" w14:textId="77777777" w:rsidTr="00B80531">
        <w:tc>
          <w:tcPr>
            <w:tcW w:w="4621" w:type="dxa"/>
          </w:tcPr>
          <w:p w14:paraId="4E4F0666" w14:textId="77777777" w:rsidR="003B6AFA" w:rsidRPr="001724A0" w:rsidRDefault="003B6AFA" w:rsidP="00B80531">
            <w:pPr>
              <w:spacing w:before="100" w:beforeAutospacing="1" w:after="100" w:afterAutospacing="1"/>
            </w:pPr>
            <w:r w:rsidRPr="001724A0">
              <w:t>Are there reasonable grounds for suspecting money laundering?</w:t>
            </w:r>
          </w:p>
          <w:p w14:paraId="4E4F0667" w14:textId="77777777" w:rsidR="003B6AFA" w:rsidRPr="001724A0" w:rsidRDefault="003B6AFA" w:rsidP="00B80531">
            <w:pPr>
              <w:spacing w:before="100" w:beforeAutospacing="1" w:after="100" w:afterAutospacing="1"/>
            </w:pPr>
          </w:p>
        </w:tc>
        <w:tc>
          <w:tcPr>
            <w:tcW w:w="4621" w:type="dxa"/>
          </w:tcPr>
          <w:p w14:paraId="4E4F0668" w14:textId="77777777" w:rsidR="003B6AFA" w:rsidRPr="001724A0" w:rsidRDefault="003B6AFA" w:rsidP="00B80531">
            <w:pPr>
              <w:spacing w:before="100" w:beforeAutospacing="1" w:after="100" w:afterAutospacing="1"/>
            </w:pPr>
            <w:r w:rsidRPr="001724A0">
              <w:t>Yes/No</w:t>
            </w:r>
          </w:p>
          <w:p w14:paraId="4E4F0669" w14:textId="77777777" w:rsidR="003B6AFA" w:rsidRPr="001724A0" w:rsidRDefault="003B6AFA" w:rsidP="00B80531">
            <w:pPr>
              <w:spacing w:before="100" w:beforeAutospacing="1" w:after="100" w:afterAutospacing="1"/>
            </w:pPr>
            <w:r w:rsidRPr="001724A0">
              <w:t>Delete as necessary. (If yes further details)</w:t>
            </w:r>
          </w:p>
        </w:tc>
      </w:tr>
      <w:tr w:rsidR="001724A0" w:rsidRPr="001724A0" w14:paraId="4E4F066E" w14:textId="77777777" w:rsidTr="00B80531">
        <w:tc>
          <w:tcPr>
            <w:tcW w:w="4621" w:type="dxa"/>
          </w:tcPr>
          <w:p w14:paraId="4E4F066B" w14:textId="77777777" w:rsidR="003B6AFA" w:rsidRPr="001724A0" w:rsidRDefault="003B6AFA" w:rsidP="00CF6280">
            <w:pPr>
              <w:spacing w:before="100" w:beforeAutospacing="1" w:after="100" w:afterAutospacing="1"/>
            </w:pPr>
            <w:r w:rsidRPr="001724A0">
              <w:t>If there are reasonable grounds for suspicion, will a report be made to NCA?</w:t>
            </w:r>
          </w:p>
        </w:tc>
        <w:tc>
          <w:tcPr>
            <w:tcW w:w="4621" w:type="dxa"/>
          </w:tcPr>
          <w:p w14:paraId="4E4F066C" w14:textId="77777777" w:rsidR="003B6AFA" w:rsidRPr="001724A0" w:rsidRDefault="003B6AFA" w:rsidP="00B80531">
            <w:pPr>
              <w:spacing w:before="100" w:beforeAutospacing="1" w:after="100" w:afterAutospacing="1"/>
            </w:pPr>
            <w:r w:rsidRPr="001724A0">
              <w:t>Yes/No</w:t>
            </w:r>
          </w:p>
          <w:p w14:paraId="4E4F066D" w14:textId="77777777" w:rsidR="003B6AFA" w:rsidRPr="001724A0" w:rsidRDefault="003B6AFA" w:rsidP="00B80531">
            <w:pPr>
              <w:spacing w:before="100" w:beforeAutospacing="1" w:after="100" w:afterAutospacing="1"/>
            </w:pPr>
            <w:r w:rsidRPr="001724A0">
              <w:t>Delete as necessary.</w:t>
            </w:r>
          </w:p>
        </w:tc>
      </w:tr>
      <w:tr w:rsidR="001724A0" w:rsidRPr="001724A0" w14:paraId="4E4F0672" w14:textId="77777777" w:rsidTr="00B80531">
        <w:tc>
          <w:tcPr>
            <w:tcW w:w="4621" w:type="dxa"/>
          </w:tcPr>
          <w:p w14:paraId="4E4F0670" w14:textId="1C614DAF" w:rsidR="003B6AFA" w:rsidRPr="001724A0" w:rsidRDefault="003B6AFA" w:rsidP="001F0EA1">
            <w:pPr>
              <w:spacing w:before="100" w:beforeAutospacing="1" w:after="100" w:afterAutospacing="1"/>
            </w:pPr>
            <w:r w:rsidRPr="001724A0">
              <w:t>Confirm date of report to NCA</w:t>
            </w:r>
          </w:p>
        </w:tc>
        <w:tc>
          <w:tcPr>
            <w:tcW w:w="4621" w:type="dxa"/>
          </w:tcPr>
          <w:p w14:paraId="4E4F0671" w14:textId="77777777" w:rsidR="003B6AFA" w:rsidRPr="001724A0" w:rsidRDefault="003B6AFA" w:rsidP="00B80531">
            <w:pPr>
              <w:spacing w:before="100" w:beforeAutospacing="1" w:after="100" w:afterAutospacing="1"/>
            </w:pPr>
          </w:p>
        </w:tc>
      </w:tr>
      <w:tr w:rsidR="001724A0" w:rsidRPr="001724A0" w14:paraId="4E4F0675" w14:textId="77777777" w:rsidTr="00B80531">
        <w:tc>
          <w:tcPr>
            <w:tcW w:w="4621" w:type="dxa"/>
          </w:tcPr>
          <w:p w14:paraId="4E4F0673" w14:textId="77777777" w:rsidR="003B6AFA" w:rsidRPr="001724A0" w:rsidRDefault="003B6AFA" w:rsidP="00E944CD">
            <w:pPr>
              <w:spacing w:before="100" w:beforeAutospacing="1" w:after="100" w:afterAutospacing="1"/>
            </w:pPr>
            <w:r w:rsidRPr="001724A0">
              <w:t>Details of liaison with the NCA regarding the report</w:t>
            </w:r>
          </w:p>
        </w:tc>
        <w:tc>
          <w:tcPr>
            <w:tcW w:w="4621" w:type="dxa"/>
          </w:tcPr>
          <w:p w14:paraId="4E4F0674" w14:textId="77777777" w:rsidR="003B6AFA" w:rsidRPr="001724A0" w:rsidRDefault="003B6AFA" w:rsidP="00B80531">
            <w:pPr>
              <w:spacing w:before="100" w:beforeAutospacing="1" w:after="100" w:afterAutospacing="1"/>
            </w:pPr>
          </w:p>
        </w:tc>
      </w:tr>
      <w:tr w:rsidR="001724A0" w:rsidRPr="001724A0" w14:paraId="4E4F067B" w14:textId="77777777" w:rsidTr="00B80531">
        <w:tc>
          <w:tcPr>
            <w:tcW w:w="4621" w:type="dxa"/>
          </w:tcPr>
          <w:p w14:paraId="4E4F0676" w14:textId="77777777" w:rsidR="003B6AFA" w:rsidRPr="001724A0" w:rsidRDefault="003B6AFA" w:rsidP="00B80531">
            <w:pPr>
              <w:spacing w:before="100" w:beforeAutospacing="1" w:after="100" w:afterAutospacing="1"/>
            </w:pPr>
            <w:r w:rsidRPr="001724A0">
              <w:t>Is consent required from the NCA for any ongoing or imminent transactions, which would otherwise be prohibited acts?</w:t>
            </w:r>
          </w:p>
          <w:p w14:paraId="4E4F0677" w14:textId="77777777" w:rsidR="003B6AFA" w:rsidRPr="001724A0" w:rsidRDefault="003B6AFA" w:rsidP="00B80531">
            <w:pPr>
              <w:spacing w:before="100" w:beforeAutospacing="1" w:after="100" w:afterAutospacing="1"/>
            </w:pPr>
          </w:p>
          <w:p w14:paraId="4E4F0678" w14:textId="77777777" w:rsidR="003B6AFA" w:rsidRPr="001724A0" w:rsidRDefault="003B6AFA" w:rsidP="00B80531">
            <w:pPr>
              <w:spacing w:before="100" w:beforeAutospacing="1" w:after="100" w:afterAutospacing="1"/>
            </w:pPr>
          </w:p>
        </w:tc>
        <w:tc>
          <w:tcPr>
            <w:tcW w:w="4621" w:type="dxa"/>
          </w:tcPr>
          <w:p w14:paraId="4E4F0679" w14:textId="77777777" w:rsidR="003B6AFA" w:rsidRPr="001724A0" w:rsidRDefault="003B6AFA" w:rsidP="00B80531">
            <w:pPr>
              <w:spacing w:before="100" w:beforeAutospacing="1" w:after="100" w:afterAutospacing="1"/>
            </w:pPr>
            <w:r w:rsidRPr="001724A0">
              <w:t>Yes/No</w:t>
            </w:r>
          </w:p>
          <w:p w14:paraId="4E4F067A" w14:textId="77777777" w:rsidR="003B6AFA" w:rsidRPr="001724A0" w:rsidRDefault="003B6AFA" w:rsidP="00B80531">
            <w:pPr>
              <w:spacing w:before="100" w:beforeAutospacing="1" w:after="100" w:afterAutospacing="1"/>
            </w:pPr>
            <w:r w:rsidRPr="001724A0">
              <w:t>Delete as necessary. (If yes further details)</w:t>
            </w:r>
          </w:p>
        </w:tc>
      </w:tr>
      <w:tr w:rsidR="001724A0" w:rsidRPr="001724A0" w14:paraId="4E4F067F" w14:textId="77777777" w:rsidTr="00B80531">
        <w:tc>
          <w:tcPr>
            <w:tcW w:w="4621" w:type="dxa"/>
          </w:tcPr>
          <w:p w14:paraId="4E4F067C" w14:textId="77777777" w:rsidR="003B6AFA" w:rsidRPr="001724A0" w:rsidRDefault="003B6AFA" w:rsidP="00B80531">
            <w:pPr>
              <w:spacing w:before="100" w:beforeAutospacing="1" w:after="100" w:afterAutospacing="1"/>
            </w:pPr>
            <w:r w:rsidRPr="001724A0">
              <w:t xml:space="preserve">Date consent received from the </w:t>
            </w:r>
            <w:proofErr w:type="gramStart"/>
            <w:r w:rsidRPr="001724A0">
              <w:t>NCA</w:t>
            </w:r>
            <w:proofErr w:type="gramEnd"/>
          </w:p>
          <w:p w14:paraId="4E4F067D" w14:textId="77777777" w:rsidR="003B6AFA" w:rsidRPr="001724A0" w:rsidRDefault="003B6AFA" w:rsidP="00B80531">
            <w:pPr>
              <w:spacing w:before="100" w:beforeAutospacing="1" w:after="100" w:afterAutospacing="1"/>
            </w:pPr>
          </w:p>
        </w:tc>
        <w:tc>
          <w:tcPr>
            <w:tcW w:w="4621" w:type="dxa"/>
          </w:tcPr>
          <w:p w14:paraId="4E4F067E" w14:textId="77777777" w:rsidR="003B6AFA" w:rsidRPr="001724A0" w:rsidRDefault="003B6AFA" w:rsidP="00B80531">
            <w:pPr>
              <w:spacing w:before="100" w:beforeAutospacing="1" w:after="100" w:afterAutospacing="1"/>
            </w:pPr>
          </w:p>
        </w:tc>
      </w:tr>
      <w:tr w:rsidR="001724A0" w:rsidRPr="001724A0" w14:paraId="4E4F0683" w14:textId="77777777" w:rsidTr="00B80531">
        <w:tc>
          <w:tcPr>
            <w:tcW w:w="4621" w:type="dxa"/>
          </w:tcPr>
          <w:p w14:paraId="4E4F0680" w14:textId="77777777" w:rsidR="003B6AFA" w:rsidRPr="001724A0" w:rsidRDefault="003B6AFA" w:rsidP="00B80531">
            <w:pPr>
              <w:spacing w:before="100" w:beforeAutospacing="1" w:after="100" w:afterAutospacing="1"/>
            </w:pPr>
            <w:r w:rsidRPr="001724A0">
              <w:t xml:space="preserve">Date consent given by you to </w:t>
            </w:r>
            <w:proofErr w:type="gramStart"/>
            <w:r w:rsidRPr="001724A0">
              <w:t>employee</w:t>
            </w:r>
            <w:proofErr w:type="gramEnd"/>
          </w:p>
          <w:p w14:paraId="4E4F0681" w14:textId="77777777" w:rsidR="003B6AFA" w:rsidRPr="001724A0" w:rsidRDefault="003B6AFA" w:rsidP="00B80531">
            <w:pPr>
              <w:spacing w:before="100" w:beforeAutospacing="1" w:after="100" w:afterAutospacing="1"/>
            </w:pPr>
          </w:p>
        </w:tc>
        <w:tc>
          <w:tcPr>
            <w:tcW w:w="4621" w:type="dxa"/>
          </w:tcPr>
          <w:p w14:paraId="4E4F0682" w14:textId="77777777" w:rsidR="003B6AFA" w:rsidRPr="001724A0" w:rsidRDefault="003B6AFA" w:rsidP="00B80531">
            <w:pPr>
              <w:spacing w:before="100" w:beforeAutospacing="1" w:after="100" w:afterAutospacing="1"/>
            </w:pPr>
          </w:p>
        </w:tc>
      </w:tr>
      <w:tr w:rsidR="001724A0" w:rsidRPr="001724A0" w14:paraId="4E4F0687" w14:textId="77777777" w:rsidTr="00B80531">
        <w:tc>
          <w:tcPr>
            <w:tcW w:w="4621" w:type="dxa"/>
          </w:tcPr>
          <w:p w14:paraId="4E4F0684" w14:textId="77777777" w:rsidR="003B6AFA" w:rsidRPr="001724A0" w:rsidRDefault="003B6AFA" w:rsidP="00B80531">
            <w:pPr>
              <w:spacing w:before="100" w:beforeAutospacing="1" w:after="100" w:afterAutospacing="1"/>
            </w:pPr>
            <w:r w:rsidRPr="001724A0">
              <w:t>If there are reasonable grounds to suspect money laundering, but you do not intend to report the matter to the NCA, please set out reasonable excuse for non-</w:t>
            </w:r>
            <w:proofErr w:type="gramStart"/>
            <w:r w:rsidRPr="001724A0">
              <w:t>disclosure</w:t>
            </w:r>
            <w:proofErr w:type="gramEnd"/>
            <w:r w:rsidRPr="001724A0">
              <w:t xml:space="preserve"> </w:t>
            </w:r>
          </w:p>
          <w:p w14:paraId="4E4F0685" w14:textId="77777777" w:rsidR="003B6AFA" w:rsidRPr="001724A0" w:rsidRDefault="003B6AFA" w:rsidP="00B80531">
            <w:pPr>
              <w:spacing w:before="100" w:beforeAutospacing="1" w:after="100" w:afterAutospacing="1"/>
            </w:pPr>
          </w:p>
        </w:tc>
        <w:tc>
          <w:tcPr>
            <w:tcW w:w="4621" w:type="dxa"/>
          </w:tcPr>
          <w:p w14:paraId="4E4F0686" w14:textId="77777777" w:rsidR="003B6AFA" w:rsidRPr="001724A0" w:rsidRDefault="003B6AFA" w:rsidP="00B80531">
            <w:pPr>
              <w:spacing w:before="100" w:beforeAutospacing="1" w:after="100" w:afterAutospacing="1"/>
            </w:pPr>
          </w:p>
        </w:tc>
      </w:tr>
      <w:tr w:rsidR="001724A0" w:rsidRPr="001724A0" w14:paraId="4E4F068B" w14:textId="77777777" w:rsidTr="00B80531">
        <w:tc>
          <w:tcPr>
            <w:tcW w:w="4621" w:type="dxa"/>
          </w:tcPr>
          <w:p w14:paraId="4E4F0688" w14:textId="77777777" w:rsidR="003B6AFA" w:rsidRPr="001724A0" w:rsidRDefault="003B6AFA" w:rsidP="00B80531">
            <w:pPr>
              <w:spacing w:before="100" w:beforeAutospacing="1" w:after="100" w:afterAutospacing="1"/>
            </w:pPr>
            <w:r w:rsidRPr="001724A0">
              <w:t xml:space="preserve">Date given by you to employee for any prohibited act transactions to </w:t>
            </w:r>
            <w:proofErr w:type="gramStart"/>
            <w:r w:rsidRPr="001724A0">
              <w:t>proceed</w:t>
            </w:r>
            <w:proofErr w:type="gramEnd"/>
          </w:p>
          <w:p w14:paraId="4E4F0689" w14:textId="77777777" w:rsidR="003B6AFA" w:rsidRPr="001724A0" w:rsidRDefault="003B6AFA" w:rsidP="00B80531">
            <w:pPr>
              <w:spacing w:before="100" w:beforeAutospacing="1" w:after="100" w:afterAutospacing="1"/>
            </w:pPr>
          </w:p>
        </w:tc>
        <w:tc>
          <w:tcPr>
            <w:tcW w:w="4621" w:type="dxa"/>
          </w:tcPr>
          <w:p w14:paraId="4E4F068A" w14:textId="77777777" w:rsidR="003B6AFA" w:rsidRPr="001724A0" w:rsidRDefault="003B6AFA" w:rsidP="00B80531">
            <w:pPr>
              <w:spacing w:before="100" w:beforeAutospacing="1" w:after="100" w:afterAutospacing="1"/>
            </w:pPr>
          </w:p>
        </w:tc>
      </w:tr>
      <w:tr w:rsidR="001724A0" w:rsidRPr="001724A0" w14:paraId="4E4F068F" w14:textId="77777777" w:rsidTr="00B80531">
        <w:tc>
          <w:tcPr>
            <w:tcW w:w="4621" w:type="dxa"/>
          </w:tcPr>
          <w:p w14:paraId="4E4F068C" w14:textId="77777777" w:rsidR="003B6AFA" w:rsidRPr="001724A0" w:rsidRDefault="003B6AFA" w:rsidP="00B80531">
            <w:pPr>
              <w:spacing w:before="100" w:beforeAutospacing="1" w:after="100" w:afterAutospacing="1"/>
            </w:pPr>
            <w:r w:rsidRPr="001724A0">
              <w:lastRenderedPageBreak/>
              <w:t>Other relevant information</w:t>
            </w:r>
          </w:p>
          <w:p w14:paraId="4E4F068D" w14:textId="77777777" w:rsidR="003B6AFA" w:rsidRPr="001724A0" w:rsidRDefault="003B6AFA" w:rsidP="00B80531">
            <w:pPr>
              <w:spacing w:before="100" w:beforeAutospacing="1" w:after="100" w:afterAutospacing="1"/>
            </w:pPr>
          </w:p>
        </w:tc>
        <w:tc>
          <w:tcPr>
            <w:tcW w:w="4621" w:type="dxa"/>
          </w:tcPr>
          <w:p w14:paraId="4E4F068E" w14:textId="77777777" w:rsidR="003B6AFA" w:rsidRPr="001724A0" w:rsidRDefault="003B6AFA" w:rsidP="00B80531">
            <w:pPr>
              <w:spacing w:before="100" w:beforeAutospacing="1" w:after="100" w:afterAutospacing="1"/>
            </w:pPr>
          </w:p>
        </w:tc>
      </w:tr>
      <w:tr w:rsidR="001724A0" w:rsidRPr="001724A0" w14:paraId="4E4F0693" w14:textId="77777777" w:rsidTr="00B80531">
        <w:tc>
          <w:tcPr>
            <w:tcW w:w="4621" w:type="dxa"/>
          </w:tcPr>
          <w:p w14:paraId="4E4F0690" w14:textId="77777777" w:rsidR="003B6AFA" w:rsidRPr="001724A0" w:rsidRDefault="003B6AFA" w:rsidP="00B80531">
            <w:pPr>
              <w:spacing w:before="100" w:beforeAutospacing="1" w:after="100" w:afterAutospacing="1"/>
            </w:pPr>
            <w:r w:rsidRPr="001724A0">
              <w:t>Signed</w:t>
            </w:r>
          </w:p>
          <w:p w14:paraId="4E4F0691" w14:textId="77777777" w:rsidR="003B6AFA" w:rsidRPr="001724A0" w:rsidRDefault="003B6AFA" w:rsidP="00B80531">
            <w:pPr>
              <w:spacing w:before="100" w:beforeAutospacing="1" w:after="100" w:afterAutospacing="1"/>
            </w:pPr>
          </w:p>
        </w:tc>
        <w:tc>
          <w:tcPr>
            <w:tcW w:w="4621" w:type="dxa"/>
          </w:tcPr>
          <w:p w14:paraId="4E4F0692" w14:textId="77777777" w:rsidR="003B6AFA" w:rsidRPr="001724A0" w:rsidRDefault="003B6AFA" w:rsidP="00B80531">
            <w:pPr>
              <w:spacing w:before="100" w:beforeAutospacing="1" w:after="100" w:afterAutospacing="1"/>
            </w:pPr>
          </w:p>
        </w:tc>
      </w:tr>
      <w:tr w:rsidR="001724A0" w:rsidRPr="001724A0" w14:paraId="4E4F0697" w14:textId="77777777" w:rsidTr="00B80531">
        <w:tc>
          <w:tcPr>
            <w:tcW w:w="4621" w:type="dxa"/>
          </w:tcPr>
          <w:p w14:paraId="4E4F0694" w14:textId="77777777" w:rsidR="003B6AFA" w:rsidRPr="001724A0" w:rsidRDefault="003B6AFA" w:rsidP="00CF6280">
            <w:pPr>
              <w:spacing w:before="100" w:beforeAutospacing="1" w:after="100" w:afterAutospacing="1"/>
            </w:pPr>
            <w:r w:rsidRPr="001724A0">
              <w:t>Dated</w:t>
            </w:r>
          </w:p>
          <w:p w14:paraId="4E4F0695" w14:textId="77777777" w:rsidR="00CF6280" w:rsidRPr="001724A0" w:rsidRDefault="00CF6280" w:rsidP="00CF6280">
            <w:pPr>
              <w:spacing w:before="100" w:beforeAutospacing="1" w:after="100" w:afterAutospacing="1"/>
            </w:pPr>
          </w:p>
        </w:tc>
        <w:tc>
          <w:tcPr>
            <w:tcW w:w="4621" w:type="dxa"/>
          </w:tcPr>
          <w:p w14:paraId="4E4F0696" w14:textId="77777777" w:rsidR="003B6AFA" w:rsidRPr="001724A0" w:rsidRDefault="003B6AFA" w:rsidP="00B80531">
            <w:pPr>
              <w:spacing w:before="100" w:beforeAutospacing="1" w:after="100" w:afterAutospacing="1"/>
            </w:pPr>
          </w:p>
        </w:tc>
      </w:tr>
    </w:tbl>
    <w:p w14:paraId="4E4F0698" w14:textId="77777777" w:rsidR="005C19B3" w:rsidRPr="001724A0" w:rsidRDefault="005C19B3" w:rsidP="002C0CB2">
      <w:pPr>
        <w:autoSpaceDE w:val="0"/>
        <w:autoSpaceDN w:val="0"/>
        <w:adjustRightInd w:val="0"/>
        <w:rPr>
          <w:rFonts w:cs="Arial"/>
        </w:rPr>
      </w:pPr>
    </w:p>
    <w:sectPr w:rsidR="005C19B3" w:rsidRPr="001724A0" w:rsidSect="002B4906">
      <w:footerReference w:type="default" r:id="rId16"/>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378AF" w14:textId="77777777" w:rsidR="00EF3B15" w:rsidRDefault="00EF3B15" w:rsidP="00AF431B">
      <w:r>
        <w:separator/>
      </w:r>
    </w:p>
  </w:endnote>
  <w:endnote w:type="continuationSeparator" w:id="0">
    <w:p w14:paraId="33702822" w14:textId="77777777" w:rsidR="00EF3B15" w:rsidRDefault="00EF3B15" w:rsidP="00AF4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655054"/>
      <w:docPartObj>
        <w:docPartGallery w:val="Page Numbers (Bottom of Page)"/>
        <w:docPartUnique/>
      </w:docPartObj>
    </w:sdtPr>
    <w:sdtEndPr>
      <w:rPr>
        <w:noProof/>
      </w:rPr>
    </w:sdtEndPr>
    <w:sdtContent>
      <w:p w14:paraId="4E4F06A1" w14:textId="77777777" w:rsidR="00DF0FBE" w:rsidRDefault="00DF0FBE">
        <w:pPr>
          <w:pStyle w:val="Footer"/>
          <w:jc w:val="right"/>
        </w:pPr>
        <w:r>
          <w:fldChar w:fldCharType="begin"/>
        </w:r>
        <w:r>
          <w:instrText xml:space="preserve"> PAGE   \* MERGEFORMAT </w:instrText>
        </w:r>
        <w:r>
          <w:fldChar w:fldCharType="separate"/>
        </w:r>
        <w:r w:rsidR="005221C9">
          <w:rPr>
            <w:noProof/>
          </w:rPr>
          <w:t>1</w:t>
        </w:r>
        <w:r>
          <w:rPr>
            <w:noProof/>
          </w:rPr>
          <w:fldChar w:fldCharType="end"/>
        </w:r>
      </w:p>
    </w:sdtContent>
  </w:sdt>
  <w:p w14:paraId="4E4F06A2" w14:textId="77777777" w:rsidR="00DF0FBE" w:rsidRDefault="00DF0F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BDDEB" w14:textId="77777777" w:rsidR="00EF3B15" w:rsidRDefault="00EF3B15" w:rsidP="00AF431B">
      <w:r>
        <w:separator/>
      </w:r>
    </w:p>
  </w:footnote>
  <w:footnote w:type="continuationSeparator" w:id="0">
    <w:p w14:paraId="1FAD6A9C" w14:textId="77777777" w:rsidR="00EF3B15" w:rsidRDefault="00EF3B15" w:rsidP="00AF43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7448"/>
    <w:multiLevelType w:val="multilevel"/>
    <w:tmpl w:val="43FA3146"/>
    <w:lvl w:ilvl="0">
      <w:start w:val="1"/>
      <w:numFmt w:val="bullet"/>
      <w:lvlText w:val=""/>
      <w:lvlJc w:val="left"/>
      <w:pPr>
        <w:ind w:left="360" w:hanging="360"/>
      </w:pPr>
      <w:rPr>
        <w:rFonts w:ascii="Symbol" w:hAnsi="Symbol" w:hint="default"/>
        <w:b/>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rPr>
        <w:b w:val="0"/>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68120B"/>
    <w:multiLevelType w:val="multilevel"/>
    <w:tmpl w:val="D2CED690"/>
    <w:lvl w:ilvl="0">
      <w:start w:val="1"/>
      <w:numFmt w:val="decimal"/>
      <w:lvlText w:val="%1."/>
      <w:lvlJc w:val="left"/>
      <w:pPr>
        <w:ind w:left="360" w:hanging="360"/>
      </w:pPr>
      <w:rPr>
        <w:rFonts w:hint="default"/>
        <w:color w:val="000000" w:themeColor="text1"/>
      </w:rPr>
    </w:lvl>
    <w:lvl w:ilvl="1">
      <w:start w:val="1"/>
      <w:numFmt w:val="decimal"/>
      <w:lvlText w:val="%1.%2"/>
      <w:lvlJc w:val="left"/>
      <w:pPr>
        <w:ind w:left="720" w:hanging="360"/>
      </w:pPr>
      <w:rPr>
        <w:rFonts w:hint="default"/>
        <w:b w:val="0"/>
        <w:i w:val="0"/>
      </w:rPr>
    </w:lvl>
    <w:lvl w:ilvl="2">
      <w:start w:val="1"/>
      <w:numFmt w:val="bullet"/>
      <w:lvlText w:val=""/>
      <w:lvlJc w:val="left"/>
      <w:pPr>
        <w:ind w:left="1440" w:hanging="720"/>
      </w:pPr>
      <w:rPr>
        <w:rFonts w:ascii="Symbol" w:hAnsi="Symbol" w:hint="default"/>
      </w:rPr>
    </w:lvl>
    <w:lvl w:ilvl="3">
      <w:start w:val="1"/>
      <w:numFmt w:val="decimal"/>
      <w:lvlText w:val="%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D176C4C"/>
    <w:multiLevelType w:val="multilevel"/>
    <w:tmpl w:val="3904ACD8"/>
    <w:lvl w:ilvl="0">
      <w:start w:val="1"/>
      <w:numFmt w:val="decimal"/>
      <w:lvlText w:val="%1"/>
      <w:lvlJc w:val="left"/>
      <w:pPr>
        <w:ind w:left="360" w:hanging="360"/>
      </w:pPr>
      <w:rPr>
        <w:rFonts w:hint="default"/>
        <w:color w:val="000000" w:themeColor="text1"/>
      </w:rPr>
    </w:lvl>
    <w:lvl w:ilvl="1">
      <w:start w:val="1"/>
      <w:numFmt w:val="decimal"/>
      <w:lvlText w:val="8.%2"/>
      <w:lvlJc w:val="left"/>
      <w:pPr>
        <w:ind w:left="720" w:hanging="360"/>
      </w:pPr>
      <w:rPr>
        <w:rFonts w:hint="default"/>
        <w:i w:val="0"/>
        <w:color w:val="000000" w:themeColor="text1"/>
      </w:rPr>
    </w:lvl>
    <w:lvl w:ilvl="2">
      <w:start w:val="1"/>
      <w:numFmt w:val="decimal"/>
      <w:lvlText w:val="%1.%2.%3"/>
      <w:lvlJc w:val="left"/>
      <w:pPr>
        <w:ind w:left="1440" w:hanging="720"/>
      </w:pPr>
      <w:rPr>
        <w:rFonts w:hint="default"/>
      </w:rPr>
    </w:lvl>
    <w:lvl w:ilvl="3">
      <w:start w:val="1"/>
      <w:numFmt w:val="decimal"/>
      <w:lvlText w:val="%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00A01BA"/>
    <w:multiLevelType w:val="multilevel"/>
    <w:tmpl w:val="43FA3146"/>
    <w:lvl w:ilvl="0">
      <w:start w:val="1"/>
      <w:numFmt w:val="bullet"/>
      <w:lvlText w:val=""/>
      <w:lvlJc w:val="left"/>
      <w:pPr>
        <w:ind w:left="360" w:hanging="360"/>
      </w:pPr>
      <w:rPr>
        <w:rFonts w:ascii="Symbol" w:hAnsi="Symbol" w:hint="default"/>
        <w:b/>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rPr>
        <w:b w:val="0"/>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342010"/>
    <w:multiLevelType w:val="multilevel"/>
    <w:tmpl w:val="5C16334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1634336"/>
    <w:multiLevelType w:val="multilevel"/>
    <w:tmpl w:val="3DFEADF8"/>
    <w:lvl w:ilvl="0">
      <w:start w:val="1"/>
      <w:numFmt w:val="decimal"/>
      <w:lvlText w:val="%1."/>
      <w:lvlJc w:val="left"/>
      <w:pPr>
        <w:ind w:left="360" w:hanging="360"/>
      </w:pPr>
      <w:rPr>
        <w:rFonts w:hint="default"/>
        <w:b/>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rPr>
        <w:b w:val="0"/>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035A32"/>
    <w:multiLevelType w:val="multilevel"/>
    <w:tmpl w:val="B2DADEF8"/>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9757FC"/>
    <w:multiLevelType w:val="multilevel"/>
    <w:tmpl w:val="E78EF14A"/>
    <w:lvl w:ilvl="0">
      <w:start w:val="1"/>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b w:val="0"/>
      </w:rPr>
    </w:lvl>
    <w:lvl w:ilvl="2">
      <w:start w:val="1"/>
      <w:numFmt w:val="decimal"/>
      <w:lvlText w:val="%1.%2.%3"/>
      <w:lvlJc w:val="left"/>
      <w:pPr>
        <w:ind w:left="1440" w:hanging="720"/>
      </w:pPr>
      <w:rPr>
        <w:rFonts w:hint="default"/>
        <w:b/>
      </w:rPr>
    </w:lvl>
    <w:lvl w:ilvl="3">
      <w:start w:val="1"/>
      <w:numFmt w:val="decimal"/>
      <w:lvlText w:val="%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8" w15:restartNumberingAfterBreak="0">
    <w:nsid w:val="274070E0"/>
    <w:multiLevelType w:val="multilevel"/>
    <w:tmpl w:val="DFF8E16E"/>
    <w:lvl w:ilvl="0">
      <w:start w:val="1"/>
      <w:numFmt w:val="bullet"/>
      <w:lvlText w:val=""/>
      <w:lvlJc w:val="left"/>
      <w:pPr>
        <w:ind w:left="360" w:hanging="360"/>
      </w:pPr>
      <w:rPr>
        <w:rFonts w:ascii="Symbol" w:hAnsi="Symbol" w:hint="default"/>
        <w:b/>
      </w:rPr>
    </w:lvl>
    <w:lvl w:ilvl="1">
      <w:start w:val="1"/>
      <w:numFmt w:val="decimal"/>
      <w:lvlText w:val="%2."/>
      <w:lvlJc w:val="left"/>
      <w:pPr>
        <w:ind w:left="720" w:hanging="360"/>
      </w:pPr>
    </w:lvl>
    <w:lvl w:ilvl="2">
      <w:start w:val="1"/>
      <w:numFmt w:val="decimal"/>
      <w:lvlText w:val="%1.%2.%3."/>
      <w:lvlJc w:val="left"/>
      <w:pPr>
        <w:ind w:left="1224" w:hanging="504"/>
      </w:pPr>
      <w:rPr>
        <w:b w:val="0"/>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5C1FD0"/>
    <w:multiLevelType w:val="multilevel"/>
    <w:tmpl w:val="6928AFDA"/>
    <w:lvl w:ilvl="0">
      <w:start w:val="6"/>
      <w:numFmt w:val="decimal"/>
      <w:lvlText w:val="%1"/>
      <w:lvlJc w:val="left"/>
      <w:pPr>
        <w:ind w:left="360" w:hanging="360"/>
      </w:pPr>
      <w:rPr>
        <w:rFonts w:hint="default"/>
      </w:rPr>
    </w:lvl>
    <w:lvl w:ilvl="1">
      <w:start w:val="3"/>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F0B795C"/>
    <w:multiLevelType w:val="multilevel"/>
    <w:tmpl w:val="5C163342"/>
    <w:styleLink w:val="Style1"/>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9D43CAF"/>
    <w:multiLevelType w:val="multilevel"/>
    <w:tmpl w:val="042C499C"/>
    <w:lvl w:ilvl="0">
      <w:start w:val="11"/>
      <w:numFmt w:val="decimal"/>
      <w:lvlText w:val="%1"/>
      <w:lvlJc w:val="left"/>
      <w:pPr>
        <w:ind w:left="360" w:hanging="360"/>
      </w:pPr>
      <w:rPr>
        <w:rFonts w:hint="default"/>
        <w:b w:val="0"/>
        <w:sz w:val="22"/>
      </w:rPr>
    </w:lvl>
    <w:lvl w:ilvl="1">
      <w:start w:val="16"/>
      <w:numFmt w:val="decimal"/>
      <w:lvlText w:val="%2.2"/>
      <w:lvlJc w:val="left"/>
      <w:pPr>
        <w:ind w:left="247" w:hanging="465"/>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3CD2762A"/>
    <w:multiLevelType w:val="multilevel"/>
    <w:tmpl w:val="B0AC22C6"/>
    <w:lvl w:ilvl="0">
      <w:start w:val="1"/>
      <w:numFmt w:val="bullet"/>
      <w:lvlText w:val=""/>
      <w:lvlJc w:val="left"/>
      <w:pPr>
        <w:ind w:left="720" w:hanging="72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0">
    <w:nsid w:val="504C486F"/>
    <w:multiLevelType w:val="hybridMultilevel"/>
    <w:tmpl w:val="095430E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550D1878"/>
    <w:multiLevelType w:val="hybridMultilevel"/>
    <w:tmpl w:val="4B72A3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8FD3119"/>
    <w:multiLevelType w:val="multilevel"/>
    <w:tmpl w:val="F10E323C"/>
    <w:lvl w:ilvl="0">
      <w:start w:val="4"/>
      <w:numFmt w:val="decimal"/>
      <w:lvlText w:val="%1"/>
      <w:lvlJc w:val="left"/>
      <w:pPr>
        <w:ind w:left="360" w:hanging="360"/>
      </w:pPr>
      <w:rPr>
        <w:rFonts w:hint="default"/>
        <w:color w:val="000000" w:themeColor="text1"/>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5"/>
      <w:numFmt w:val="decimal"/>
      <w:lvlText w:val="%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05722B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97E6753"/>
    <w:multiLevelType w:val="hybridMultilevel"/>
    <w:tmpl w:val="D7A43076"/>
    <w:lvl w:ilvl="0" w:tplc="6AC6AE4A">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0FA685D"/>
    <w:multiLevelType w:val="multilevel"/>
    <w:tmpl w:val="D8D8627A"/>
    <w:lvl w:ilvl="0">
      <w:start w:val="1"/>
      <w:numFmt w:val="decimal"/>
      <w:lvlText w:val="4.%1"/>
      <w:lvlJc w:val="left"/>
      <w:pPr>
        <w:ind w:left="720" w:hanging="360"/>
      </w:pPr>
      <w:rPr>
        <w:rFonts w:hint="default"/>
      </w:rPr>
    </w:lvl>
    <w:lvl w:ilvl="1">
      <w:start w:val="1"/>
      <w:numFmt w:val="decimal"/>
      <w:lvlText w:val="%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9" w15:restartNumberingAfterBreak="0">
    <w:nsid w:val="7269723D"/>
    <w:multiLevelType w:val="multilevel"/>
    <w:tmpl w:val="F1BC7E24"/>
    <w:lvl w:ilvl="0">
      <w:start w:val="1"/>
      <w:numFmt w:val="bullet"/>
      <w:lvlText w:val=""/>
      <w:lvlJc w:val="left"/>
      <w:pPr>
        <w:ind w:left="360" w:hanging="360"/>
      </w:pPr>
      <w:rPr>
        <w:rFonts w:ascii="Symbol" w:hAnsi="Symbol" w:hint="default"/>
        <w:b/>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rPr>
        <w:b w:val="0"/>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3B524CC"/>
    <w:multiLevelType w:val="multilevel"/>
    <w:tmpl w:val="AC526B4C"/>
    <w:lvl w:ilvl="0">
      <w:start w:val="1"/>
      <w:numFmt w:val="decimal"/>
      <w:lvlText w:val="%1"/>
      <w:lvlJc w:val="left"/>
      <w:pPr>
        <w:ind w:left="360" w:hanging="360"/>
      </w:pPr>
      <w:rPr>
        <w:rFonts w:hint="default"/>
        <w:color w:val="000000" w:themeColor="text1"/>
      </w:rPr>
    </w:lvl>
    <w:lvl w:ilvl="1">
      <w:start w:val="1"/>
      <w:numFmt w:val="bullet"/>
      <w:lvlText w:val=""/>
      <w:lvlJc w:val="left"/>
      <w:pPr>
        <w:ind w:left="720" w:hanging="360"/>
      </w:pPr>
      <w:rPr>
        <w:rFonts w:ascii="Symbol" w:hAnsi="Symbol" w:hint="default"/>
      </w:rPr>
    </w:lvl>
    <w:lvl w:ilvl="2">
      <w:start w:val="1"/>
      <w:numFmt w:val="decimal"/>
      <w:lvlText w:val="%3."/>
      <w:lvlJc w:val="left"/>
      <w:pPr>
        <w:ind w:left="1440" w:hanging="720"/>
      </w:pPr>
      <w:rPr>
        <w:rFonts w:hint="default"/>
      </w:rPr>
    </w:lvl>
    <w:lvl w:ilvl="3">
      <w:start w:val="1"/>
      <w:numFmt w:val="decimal"/>
      <w:lvlText w:val="%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750B037A"/>
    <w:multiLevelType w:val="multilevel"/>
    <w:tmpl w:val="C6A2D2B6"/>
    <w:lvl w:ilvl="0">
      <w:start w:val="1"/>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b w:val="0"/>
      </w:rPr>
    </w:lvl>
    <w:lvl w:ilvl="2">
      <w:start w:val="1"/>
      <w:numFmt w:val="decimal"/>
      <w:lvlText w:val="%1.%2.%3"/>
      <w:lvlJc w:val="left"/>
      <w:pPr>
        <w:ind w:left="1440" w:hanging="720"/>
      </w:pPr>
      <w:rPr>
        <w:rFonts w:hint="default"/>
        <w:b/>
      </w:rPr>
    </w:lvl>
    <w:lvl w:ilvl="3">
      <w:start w:val="1"/>
      <w:numFmt w:val="decimal"/>
      <w:lvlText w:val="%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none"/>
      <w:lvlText w:val="7.2"/>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22" w15:restartNumberingAfterBreak="0">
    <w:nsid w:val="76921E32"/>
    <w:multiLevelType w:val="multilevel"/>
    <w:tmpl w:val="9A2C139C"/>
    <w:lvl w:ilvl="0">
      <w:start w:val="1"/>
      <w:numFmt w:val="decimal"/>
      <w:lvlText w:val="%1"/>
      <w:lvlJc w:val="left"/>
      <w:pPr>
        <w:ind w:left="360" w:hanging="360"/>
      </w:pPr>
      <w:rPr>
        <w:rFonts w:hint="default"/>
        <w:color w:val="000000" w:themeColor="text1"/>
      </w:rPr>
    </w:lvl>
    <w:lvl w:ilvl="1">
      <w:start w:val="1"/>
      <w:numFmt w:val="decimal"/>
      <w:lvlText w:val="9.%2"/>
      <w:lvlJc w:val="left"/>
      <w:pPr>
        <w:ind w:left="720" w:hanging="360"/>
      </w:pPr>
      <w:rPr>
        <w:rFonts w:hint="default"/>
      </w:rPr>
    </w:lvl>
    <w:lvl w:ilvl="2">
      <w:start w:val="1"/>
      <w:numFmt w:val="decimal"/>
      <w:lvlText w:val="%3."/>
      <w:lvlJc w:val="left"/>
      <w:pPr>
        <w:ind w:left="1440" w:hanging="720"/>
      </w:pPr>
      <w:rPr>
        <w:rFonts w:hint="default"/>
      </w:rPr>
    </w:lvl>
    <w:lvl w:ilvl="3">
      <w:start w:val="1"/>
      <w:numFmt w:val="decimal"/>
      <w:lvlText w:val="%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28484487">
    <w:abstractNumId w:val="17"/>
  </w:num>
  <w:num w:numId="2" w16cid:durableId="978922504">
    <w:abstractNumId w:val="1"/>
  </w:num>
  <w:num w:numId="3" w16cid:durableId="156507889">
    <w:abstractNumId w:val="4"/>
  </w:num>
  <w:num w:numId="4" w16cid:durableId="519508875">
    <w:abstractNumId w:val="6"/>
  </w:num>
  <w:num w:numId="5" w16cid:durableId="346952933">
    <w:abstractNumId w:val="9"/>
  </w:num>
  <w:num w:numId="6" w16cid:durableId="1374958367">
    <w:abstractNumId w:val="15"/>
  </w:num>
  <w:num w:numId="7" w16cid:durableId="1257859026">
    <w:abstractNumId w:val="21"/>
  </w:num>
  <w:num w:numId="8" w16cid:durableId="1007441644">
    <w:abstractNumId w:val="2"/>
  </w:num>
  <w:num w:numId="9" w16cid:durableId="282931040">
    <w:abstractNumId w:val="22"/>
  </w:num>
  <w:num w:numId="10" w16cid:durableId="1405756063">
    <w:abstractNumId w:val="11"/>
  </w:num>
  <w:num w:numId="11" w16cid:durableId="791706212">
    <w:abstractNumId w:val="10"/>
  </w:num>
  <w:num w:numId="12" w16cid:durableId="2126582254">
    <w:abstractNumId w:val="0"/>
  </w:num>
  <w:num w:numId="13" w16cid:durableId="170918553">
    <w:abstractNumId w:val="20"/>
  </w:num>
  <w:num w:numId="14" w16cid:durableId="371929860">
    <w:abstractNumId w:val="5"/>
  </w:num>
  <w:num w:numId="15" w16cid:durableId="650136756">
    <w:abstractNumId w:val="3"/>
  </w:num>
  <w:num w:numId="16" w16cid:durableId="1663465052">
    <w:abstractNumId w:val="12"/>
  </w:num>
  <w:num w:numId="17" w16cid:durableId="2009366094">
    <w:abstractNumId w:val="7"/>
  </w:num>
  <w:num w:numId="18" w16cid:durableId="2012099257">
    <w:abstractNumId w:val="18"/>
  </w:num>
  <w:num w:numId="19" w16cid:durableId="483812874">
    <w:abstractNumId w:val="16"/>
  </w:num>
  <w:num w:numId="20" w16cid:durableId="778843187">
    <w:abstractNumId w:val="19"/>
  </w:num>
  <w:num w:numId="21" w16cid:durableId="1771583828">
    <w:abstractNumId w:val="13"/>
  </w:num>
  <w:num w:numId="22" w16cid:durableId="1218905018">
    <w:abstractNumId w:val="14"/>
  </w:num>
  <w:num w:numId="23" w16cid:durableId="389033979">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EF9"/>
    <w:rsid w:val="0000051B"/>
    <w:rsid w:val="00001D03"/>
    <w:rsid w:val="000022BC"/>
    <w:rsid w:val="00007982"/>
    <w:rsid w:val="00012BF2"/>
    <w:rsid w:val="00027E70"/>
    <w:rsid w:val="00030E07"/>
    <w:rsid w:val="00034302"/>
    <w:rsid w:val="00042977"/>
    <w:rsid w:val="0004364B"/>
    <w:rsid w:val="00043A56"/>
    <w:rsid w:val="00044DA6"/>
    <w:rsid w:val="0004595B"/>
    <w:rsid w:val="00051C7D"/>
    <w:rsid w:val="000525BE"/>
    <w:rsid w:val="00053876"/>
    <w:rsid w:val="000603C3"/>
    <w:rsid w:val="00060A7A"/>
    <w:rsid w:val="00063666"/>
    <w:rsid w:val="00064A21"/>
    <w:rsid w:val="0006630B"/>
    <w:rsid w:val="0006700D"/>
    <w:rsid w:val="000672EF"/>
    <w:rsid w:val="00070131"/>
    <w:rsid w:val="00083745"/>
    <w:rsid w:val="00085CEB"/>
    <w:rsid w:val="000866F9"/>
    <w:rsid w:val="000915E5"/>
    <w:rsid w:val="000938B5"/>
    <w:rsid w:val="000943DF"/>
    <w:rsid w:val="000A0C7A"/>
    <w:rsid w:val="000A2547"/>
    <w:rsid w:val="000A3C19"/>
    <w:rsid w:val="000A44D4"/>
    <w:rsid w:val="000A4504"/>
    <w:rsid w:val="000A495B"/>
    <w:rsid w:val="000A4E7B"/>
    <w:rsid w:val="000A7C3C"/>
    <w:rsid w:val="000B1033"/>
    <w:rsid w:val="000B27E3"/>
    <w:rsid w:val="000B3CA8"/>
    <w:rsid w:val="000B4310"/>
    <w:rsid w:val="000B4D60"/>
    <w:rsid w:val="000B5DF8"/>
    <w:rsid w:val="000C0489"/>
    <w:rsid w:val="000C1C90"/>
    <w:rsid w:val="000C298F"/>
    <w:rsid w:val="000C362E"/>
    <w:rsid w:val="000C6821"/>
    <w:rsid w:val="000D2ADA"/>
    <w:rsid w:val="000D382C"/>
    <w:rsid w:val="000D3B94"/>
    <w:rsid w:val="000E6C83"/>
    <w:rsid w:val="000E78E9"/>
    <w:rsid w:val="000F1B53"/>
    <w:rsid w:val="000F1F62"/>
    <w:rsid w:val="000F3E34"/>
    <w:rsid w:val="000F44EA"/>
    <w:rsid w:val="000F72F3"/>
    <w:rsid w:val="00102F67"/>
    <w:rsid w:val="00103E57"/>
    <w:rsid w:val="001119C8"/>
    <w:rsid w:val="0011356A"/>
    <w:rsid w:val="00113DD7"/>
    <w:rsid w:val="00114778"/>
    <w:rsid w:val="00114919"/>
    <w:rsid w:val="0012080D"/>
    <w:rsid w:val="00123432"/>
    <w:rsid w:val="001238D0"/>
    <w:rsid w:val="0012507B"/>
    <w:rsid w:val="0012672A"/>
    <w:rsid w:val="00131CA0"/>
    <w:rsid w:val="00132E71"/>
    <w:rsid w:val="001410B2"/>
    <w:rsid w:val="00141738"/>
    <w:rsid w:val="00141E29"/>
    <w:rsid w:val="00144C9D"/>
    <w:rsid w:val="00147128"/>
    <w:rsid w:val="00150F91"/>
    <w:rsid w:val="0015105F"/>
    <w:rsid w:val="00153D4A"/>
    <w:rsid w:val="00155172"/>
    <w:rsid w:val="001551D2"/>
    <w:rsid w:val="00155A9A"/>
    <w:rsid w:val="00160A30"/>
    <w:rsid w:val="00170098"/>
    <w:rsid w:val="001724A0"/>
    <w:rsid w:val="00176D73"/>
    <w:rsid w:val="00180377"/>
    <w:rsid w:val="00180E7C"/>
    <w:rsid w:val="00182B48"/>
    <w:rsid w:val="00182EA5"/>
    <w:rsid w:val="00183A4C"/>
    <w:rsid w:val="00184183"/>
    <w:rsid w:val="00187BC4"/>
    <w:rsid w:val="00190C57"/>
    <w:rsid w:val="00195628"/>
    <w:rsid w:val="00195802"/>
    <w:rsid w:val="00197967"/>
    <w:rsid w:val="001A0535"/>
    <w:rsid w:val="001A6A07"/>
    <w:rsid w:val="001B69A3"/>
    <w:rsid w:val="001B6ABB"/>
    <w:rsid w:val="001C48CB"/>
    <w:rsid w:val="001D3552"/>
    <w:rsid w:val="001D4D40"/>
    <w:rsid w:val="001E46B1"/>
    <w:rsid w:val="001E476D"/>
    <w:rsid w:val="001E4F1C"/>
    <w:rsid w:val="001E524E"/>
    <w:rsid w:val="001F0344"/>
    <w:rsid w:val="001F0EA1"/>
    <w:rsid w:val="001F6FB8"/>
    <w:rsid w:val="00206A4A"/>
    <w:rsid w:val="002102FD"/>
    <w:rsid w:val="00211EAE"/>
    <w:rsid w:val="00213230"/>
    <w:rsid w:val="0021551B"/>
    <w:rsid w:val="00215D11"/>
    <w:rsid w:val="002161DE"/>
    <w:rsid w:val="00217D02"/>
    <w:rsid w:val="00217F3D"/>
    <w:rsid w:val="0022454C"/>
    <w:rsid w:val="0022743B"/>
    <w:rsid w:val="0023055C"/>
    <w:rsid w:val="00230D1D"/>
    <w:rsid w:val="002319C4"/>
    <w:rsid w:val="00231E1E"/>
    <w:rsid w:val="002331C1"/>
    <w:rsid w:val="002355E7"/>
    <w:rsid w:val="00235A2A"/>
    <w:rsid w:val="00241169"/>
    <w:rsid w:val="0024456E"/>
    <w:rsid w:val="00245232"/>
    <w:rsid w:val="002475DD"/>
    <w:rsid w:val="0025066B"/>
    <w:rsid w:val="0025170B"/>
    <w:rsid w:val="00251EE4"/>
    <w:rsid w:val="002533FA"/>
    <w:rsid w:val="0025439E"/>
    <w:rsid w:val="00254DBF"/>
    <w:rsid w:val="0025554B"/>
    <w:rsid w:val="00256838"/>
    <w:rsid w:val="002623CD"/>
    <w:rsid w:val="002665B6"/>
    <w:rsid w:val="002727C7"/>
    <w:rsid w:val="00274BA0"/>
    <w:rsid w:val="002812AC"/>
    <w:rsid w:val="00282A5E"/>
    <w:rsid w:val="00282FB1"/>
    <w:rsid w:val="002848AE"/>
    <w:rsid w:val="00290899"/>
    <w:rsid w:val="0029239E"/>
    <w:rsid w:val="002966D4"/>
    <w:rsid w:val="002A05A4"/>
    <w:rsid w:val="002A3695"/>
    <w:rsid w:val="002B30B6"/>
    <w:rsid w:val="002B4906"/>
    <w:rsid w:val="002B7215"/>
    <w:rsid w:val="002C0A4E"/>
    <w:rsid w:val="002C0CB2"/>
    <w:rsid w:val="002C0DCE"/>
    <w:rsid w:val="002C1FF2"/>
    <w:rsid w:val="002C2F73"/>
    <w:rsid w:val="002C31DA"/>
    <w:rsid w:val="002C466C"/>
    <w:rsid w:val="002D3C84"/>
    <w:rsid w:val="002E0B93"/>
    <w:rsid w:val="002E401F"/>
    <w:rsid w:val="002E42C4"/>
    <w:rsid w:val="002E708C"/>
    <w:rsid w:val="002F2482"/>
    <w:rsid w:val="002F50E2"/>
    <w:rsid w:val="002F520C"/>
    <w:rsid w:val="002F7D8B"/>
    <w:rsid w:val="00302EF9"/>
    <w:rsid w:val="00306045"/>
    <w:rsid w:val="00310520"/>
    <w:rsid w:val="0031142F"/>
    <w:rsid w:val="00313AF9"/>
    <w:rsid w:val="00314EB9"/>
    <w:rsid w:val="00315C75"/>
    <w:rsid w:val="00322F30"/>
    <w:rsid w:val="0032470F"/>
    <w:rsid w:val="00324B3E"/>
    <w:rsid w:val="00335415"/>
    <w:rsid w:val="003364A0"/>
    <w:rsid w:val="003366E1"/>
    <w:rsid w:val="003434B9"/>
    <w:rsid w:val="0034441A"/>
    <w:rsid w:val="003559F7"/>
    <w:rsid w:val="00360A31"/>
    <w:rsid w:val="00362254"/>
    <w:rsid w:val="00363625"/>
    <w:rsid w:val="003666DE"/>
    <w:rsid w:val="0036719C"/>
    <w:rsid w:val="003708E7"/>
    <w:rsid w:val="0037641F"/>
    <w:rsid w:val="003815ED"/>
    <w:rsid w:val="0038182F"/>
    <w:rsid w:val="00391A5C"/>
    <w:rsid w:val="00393ED6"/>
    <w:rsid w:val="00396D00"/>
    <w:rsid w:val="003A0A09"/>
    <w:rsid w:val="003A2D15"/>
    <w:rsid w:val="003A7FF9"/>
    <w:rsid w:val="003B0F1C"/>
    <w:rsid w:val="003B494F"/>
    <w:rsid w:val="003B6AFA"/>
    <w:rsid w:val="003B7C8D"/>
    <w:rsid w:val="003C2A5C"/>
    <w:rsid w:val="003C6AEB"/>
    <w:rsid w:val="003C6F5F"/>
    <w:rsid w:val="003D0D9B"/>
    <w:rsid w:val="003D7900"/>
    <w:rsid w:val="003E0224"/>
    <w:rsid w:val="003E11BC"/>
    <w:rsid w:val="003E121E"/>
    <w:rsid w:val="003E1D05"/>
    <w:rsid w:val="003E79F6"/>
    <w:rsid w:val="003F400A"/>
    <w:rsid w:val="003F4D27"/>
    <w:rsid w:val="003F6098"/>
    <w:rsid w:val="003F78D6"/>
    <w:rsid w:val="003F7AF4"/>
    <w:rsid w:val="004000D7"/>
    <w:rsid w:val="004129B2"/>
    <w:rsid w:val="00413813"/>
    <w:rsid w:val="004176CC"/>
    <w:rsid w:val="00417BD7"/>
    <w:rsid w:val="0042054A"/>
    <w:rsid w:val="00421A3C"/>
    <w:rsid w:val="00422614"/>
    <w:rsid w:val="00426B74"/>
    <w:rsid w:val="0042747B"/>
    <w:rsid w:val="0043004B"/>
    <w:rsid w:val="00435CA4"/>
    <w:rsid w:val="004377BB"/>
    <w:rsid w:val="00440657"/>
    <w:rsid w:val="00442B9D"/>
    <w:rsid w:val="00442E84"/>
    <w:rsid w:val="004432FD"/>
    <w:rsid w:val="00443620"/>
    <w:rsid w:val="004446D6"/>
    <w:rsid w:val="0044586E"/>
    <w:rsid w:val="00445DDC"/>
    <w:rsid w:val="00446D09"/>
    <w:rsid w:val="00450FFF"/>
    <w:rsid w:val="00451B59"/>
    <w:rsid w:val="0045629F"/>
    <w:rsid w:val="00463F41"/>
    <w:rsid w:val="00464914"/>
    <w:rsid w:val="0046647C"/>
    <w:rsid w:val="0046762F"/>
    <w:rsid w:val="0047111B"/>
    <w:rsid w:val="004740D8"/>
    <w:rsid w:val="004746F8"/>
    <w:rsid w:val="00481389"/>
    <w:rsid w:val="004817BA"/>
    <w:rsid w:val="004829D9"/>
    <w:rsid w:val="00487635"/>
    <w:rsid w:val="00487D91"/>
    <w:rsid w:val="004951E5"/>
    <w:rsid w:val="00495769"/>
    <w:rsid w:val="0049766A"/>
    <w:rsid w:val="004A4514"/>
    <w:rsid w:val="004B0C8E"/>
    <w:rsid w:val="004B1CDF"/>
    <w:rsid w:val="004B2D2D"/>
    <w:rsid w:val="004B3FC8"/>
    <w:rsid w:val="004B41DC"/>
    <w:rsid w:val="004B549F"/>
    <w:rsid w:val="004B5EED"/>
    <w:rsid w:val="004B7476"/>
    <w:rsid w:val="004C1447"/>
    <w:rsid w:val="004C195B"/>
    <w:rsid w:val="004C4B65"/>
    <w:rsid w:val="004C639F"/>
    <w:rsid w:val="004C768C"/>
    <w:rsid w:val="004D06BB"/>
    <w:rsid w:val="004E5460"/>
    <w:rsid w:val="004F10E6"/>
    <w:rsid w:val="004F6CB5"/>
    <w:rsid w:val="004F7E0D"/>
    <w:rsid w:val="00500503"/>
    <w:rsid w:val="005026CC"/>
    <w:rsid w:val="00502F49"/>
    <w:rsid w:val="00504E43"/>
    <w:rsid w:val="00507AC7"/>
    <w:rsid w:val="00510D1F"/>
    <w:rsid w:val="00511C64"/>
    <w:rsid w:val="005146DD"/>
    <w:rsid w:val="00516A72"/>
    <w:rsid w:val="00520973"/>
    <w:rsid w:val="005221C9"/>
    <w:rsid w:val="00522DF2"/>
    <w:rsid w:val="00523A87"/>
    <w:rsid w:val="00524911"/>
    <w:rsid w:val="00524CAA"/>
    <w:rsid w:val="00526F51"/>
    <w:rsid w:val="00530DE5"/>
    <w:rsid w:val="00531A21"/>
    <w:rsid w:val="005347ED"/>
    <w:rsid w:val="00535942"/>
    <w:rsid w:val="00536B27"/>
    <w:rsid w:val="00541262"/>
    <w:rsid w:val="005419D2"/>
    <w:rsid w:val="00543BB8"/>
    <w:rsid w:val="00544FD3"/>
    <w:rsid w:val="00551D65"/>
    <w:rsid w:val="00553EF2"/>
    <w:rsid w:val="005547F0"/>
    <w:rsid w:val="00555683"/>
    <w:rsid w:val="005612B9"/>
    <w:rsid w:val="005634DB"/>
    <w:rsid w:val="00567B02"/>
    <w:rsid w:val="00572DE6"/>
    <w:rsid w:val="00574126"/>
    <w:rsid w:val="00576C90"/>
    <w:rsid w:val="00577CE7"/>
    <w:rsid w:val="0058098B"/>
    <w:rsid w:val="0058128F"/>
    <w:rsid w:val="005904AE"/>
    <w:rsid w:val="005A0974"/>
    <w:rsid w:val="005A4FFE"/>
    <w:rsid w:val="005A7470"/>
    <w:rsid w:val="005A7E23"/>
    <w:rsid w:val="005B374C"/>
    <w:rsid w:val="005B5035"/>
    <w:rsid w:val="005B5E3B"/>
    <w:rsid w:val="005B6F6D"/>
    <w:rsid w:val="005C01EB"/>
    <w:rsid w:val="005C19B3"/>
    <w:rsid w:val="005C30A6"/>
    <w:rsid w:val="005C3E3F"/>
    <w:rsid w:val="005C56DC"/>
    <w:rsid w:val="005C710F"/>
    <w:rsid w:val="005C789A"/>
    <w:rsid w:val="005D1363"/>
    <w:rsid w:val="005D327A"/>
    <w:rsid w:val="005D56FF"/>
    <w:rsid w:val="005E078A"/>
    <w:rsid w:val="005E2AF8"/>
    <w:rsid w:val="005E4EC4"/>
    <w:rsid w:val="005E5CCC"/>
    <w:rsid w:val="005E6BCB"/>
    <w:rsid w:val="005F641F"/>
    <w:rsid w:val="00601363"/>
    <w:rsid w:val="006017B5"/>
    <w:rsid w:val="00603EB2"/>
    <w:rsid w:val="00605EF9"/>
    <w:rsid w:val="00610756"/>
    <w:rsid w:val="00612191"/>
    <w:rsid w:val="00612644"/>
    <w:rsid w:val="00613332"/>
    <w:rsid w:val="006151DB"/>
    <w:rsid w:val="0062088B"/>
    <w:rsid w:val="00621F7E"/>
    <w:rsid w:val="00625EAB"/>
    <w:rsid w:val="00630266"/>
    <w:rsid w:val="00630585"/>
    <w:rsid w:val="00631690"/>
    <w:rsid w:val="0063194C"/>
    <w:rsid w:val="00632F71"/>
    <w:rsid w:val="00633E81"/>
    <w:rsid w:val="006349C4"/>
    <w:rsid w:val="006356EE"/>
    <w:rsid w:val="00636620"/>
    <w:rsid w:val="00636884"/>
    <w:rsid w:val="00641A8B"/>
    <w:rsid w:val="00644700"/>
    <w:rsid w:val="006452CD"/>
    <w:rsid w:val="00652C45"/>
    <w:rsid w:val="00654445"/>
    <w:rsid w:val="00661D6D"/>
    <w:rsid w:val="006631CC"/>
    <w:rsid w:val="006635DF"/>
    <w:rsid w:val="006676CF"/>
    <w:rsid w:val="00671060"/>
    <w:rsid w:val="006757E7"/>
    <w:rsid w:val="0067632F"/>
    <w:rsid w:val="00677DAC"/>
    <w:rsid w:val="00680940"/>
    <w:rsid w:val="0068152F"/>
    <w:rsid w:val="00683644"/>
    <w:rsid w:val="00686463"/>
    <w:rsid w:val="00686629"/>
    <w:rsid w:val="00687040"/>
    <w:rsid w:val="0069228A"/>
    <w:rsid w:val="0069437A"/>
    <w:rsid w:val="006A1525"/>
    <w:rsid w:val="006A2F05"/>
    <w:rsid w:val="006A39D5"/>
    <w:rsid w:val="006A7DEB"/>
    <w:rsid w:val="006B4EB8"/>
    <w:rsid w:val="006B7C05"/>
    <w:rsid w:val="006C08E4"/>
    <w:rsid w:val="006C0C36"/>
    <w:rsid w:val="006C10A0"/>
    <w:rsid w:val="006C3695"/>
    <w:rsid w:val="006C5EFB"/>
    <w:rsid w:val="006C6ACE"/>
    <w:rsid w:val="006C6EE7"/>
    <w:rsid w:val="006D0C70"/>
    <w:rsid w:val="006D39B3"/>
    <w:rsid w:val="006E2AB2"/>
    <w:rsid w:val="006E2E6B"/>
    <w:rsid w:val="006E321B"/>
    <w:rsid w:val="006E7865"/>
    <w:rsid w:val="006E7FBB"/>
    <w:rsid w:val="006F4E99"/>
    <w:rsid w:val="006F5631"/>
    <w:rsid w:val="007031BB"/>
    <w:rsid w:val="007034FB"/>
    <w:rsid w:val="00704267"/>
    <w:rsid w:val="00710397"/>
    <w:rsid w:val="00710FA7"/>
    <w:rsid w:val="00712B1A"/>
    <w:rsid w:val="00712B68"/>
    <w:rsid w:val="00713085"/>
    <w:rsid w:val="00714814"/>
    <w:rsid w:val="00714B31"/>
    <w:rsid w:val="00714DE3"/>
    <w:rsid w:val="0071590C"/>
    <w:rsid w:val="0072132B"/>
    <w:rsid w:val="007240A8"/>
    <w:rsid w:val="0072508F"/>
    <w:rsid w:val="00736439"/>
    <w:rsid w:val="007366C0"/>
    <w:rsid w:val="007371A6"/>
    <w:rsid w:val="00745AA4"/>
    <w:rsid w:val="00745FCE"/>
    <w:rsid w:val="00747E4C"/>
    <w:rsid w:val="00751859"/>
    <w:rsid w:val="0075256A"/>
    <w:rsid w:val="007555EC"/>
    <w:rsid w:val="0075670B"/>
    <w:rsid w:val="00762815"/>
    <w:rsid w:val="00764127"/>
    <w:rsid w:val="0076693C"/>
    <w:rsid w:val="00766C0C"/>
    <w:rsid w:val="00774D73"/>
    <w:rsid w:val="007753D5"/>
    <w:rsid w:val="0077561A"/>
    <w:rsid w:val="007774FE"/>
    <w:rsid w:val="00777755"/>
    <w:rsid w:val="0078513B"/>
    <w:rsid w:val="00785F3C"/>
    <w:rsid w:val="00787302"/>
    <w:rsid w:val="007908F4"/>
    <w:rsid w:val="007910EB"/>
    <w:rsid w:val="00791260"/>
    <w:rsid w:val="00792F2B"/>
    <w:rsid w:val="00793CBC"/>
    <w:rsid w:val="00795529"/>
    <w:rsid w:val="00795F9F"/>
    <w:rsid w:val="00797696"/>
    <w:rsid w:val="007A1DCC"/>
    <w:rsid w:val="007A31FD"/>
    <w:rsid w:val="007A5D1A"/>
    <w:rsid w:val="007A622D"/>
    <w:rsid w:val="007A6244"/>
    <w:rsid w:val="007A6B88"/>
    <w:rsid w:val="007A74AA"/>
    <w:rsid w:val="007B0383"/>
    <w:rsid w:val="007B28CB"/>
    <w:rsid w:val="007B33DD"/>
    <w:rsid w:val="007C00AC"/>
    <w:rsid w:val="007C19FC"/>
    <w:rsid w:val="007C20AD"/>
    <w:rsid w:val="007C5615"/>
    <w:rsid w:val="007C7ABB"/>
    <w:rsid w:val="007D0D58"/>
    <w:rsid w:val="007D19FE"/>
    <w:rsid w:val="007D41C5"/>
    <w:rsid w:val="007D41F9"/>
    <w:rsid w:val="007D443B"/>
    <w:rsid w:val="007D71BE"/>
    <w:rsid w:val="007E3A89"/>
    <w:rsid w:val="007E7DA6"/>
    <w:rsid w:val="007F5F19"/>
    <w:rsid w:val="007F79CE"/>
    <w:rsid w:val="00802DF0"/>
    <w:rsid w:val="00806738"/>
    <w:rsid w:val="008110BF"/>
    <w:rsid w:val="00812614"/>
    <w:rsid w:val="00815277"/>
    <w:rsid w:val="0082024A"/>
    <w:rsid w:val="008212C1"/>
    <w:rsid w:val="00824464"/>
    <w:rsid w:val="00824D2F"/>
    <w:rsid w:val="00825373"/>
    <w:rsid w:val="00825E34"/>
    <w:rsid w:val="00826CA0"/>
    <w:rsid w:val="0083017D"/>
    <w:rsid w:val="0083112D"/>
    <w:rsid w:val="00833570"/>
    <w:rsid w:val="00833D23"/>
    <w:rsid w:val="00837227"/>
    <w:rsid w:val="008414F7"/>
    <w:rsid w:val="00843F45"/>
    <w:rsid w:val="00844775"/>
    <w:rsid w:val="00845A1B"/>
    <w:rsid w:val="0084624B"/>
    <w:rsid w:val="00851589"/>
    <w:rsid w:val="00854440"/>
    <w:rsid w:val="00857007"/>
    <w:rsid w:val="00857413"/>
    <w:rsid w:val="008574FB"/>
    <w:rsid w:val="00861C4B"/>
    <w:rsid w:val="00864E40"/>
    <w:rsid w:val="00870635"/>
    <w:rsid w:val="00871E0F"/>
    <w:rsid w:val="008735EC"/>
    <w:rsid w:val="00876B0A"/>
    <w:rsid w:val="00880534"/>
    <w:rsid w:val="00880D9C"/>
    <w:rsid w:val="00882895"/>
    <w:rsid w:val="008832D0"/>
    <w:rsid w:val="00886D1A"/>
    <w:rsid w:val="00887B52"/>
    <w:rsid w:val="00892624"/>
    <w:rsid w:val="0089378D"/>
    <w:rsid w:val="008945BB"/>
    <w:rsid w:val="00894C8A"/>
    <w:rsid w:val="008952BE"/>
    <w:rsid w:val="008963A8"/>
    <w:rsid w:val="0089758C"/>
    <w:rsid w:val="00897CD8"/>
    <w:rsid w:val="008A1F1E"/>
    <w:rsid w:val="008A22C6"/>
    <w:rsid w:val="008A2558"/>
    <w:rsid w:val="008A38B2"/>
    <w:rsid w:val="008A539A"/>
    <w:rsid w:val="008B6C60"/>
    <w:rsid w:val="008C177C"/>
    <w:rsid w:val="008C246D"/>
    <w:rsid w:val="008C28ED"/>
    <w:rsid w:val="008C45E6"/>
    <w:rsid w:val="008C552A"/>
    <w:rsid w:val="008D26AE"/>
    <w:rsid w:val="008D48EB"/>
    <w:rsid w:val="008E6884"/>
    <w:rsid w:val="008E7E94"/>
    <w:rsid w:val="008F32E1"/>
    <w:rsid w:val="008F42B7"/>
    <w:rsid w:val="008F4661"/>
    <w:rsid w:val="008F7132"/>
    <w:rsid w:val="008F7726"/>
    <w:rsid w:val="00900481"/>
    <w:rsid w:val="00901F97"/>
    <w:rsid w:val="00907AEF"/>
    <w:rsid w:val="00910377"/>
    <w:rsid w:val="00914874"/>
    <w:rsid w:val="00917DC4"/>
    <w:rsid w:val="00920F49"/>
    <w:rsid w:val="00922CB6"/>
    <w:rsid w:val="00923AB1"/>
    <w:rsid w:val="00924B19"/>
    <w:rsid w:val="0092688A"/>
    <w:rsid w:val="009268A0"/>
    <w:rsid w:val="00932A6F"/>
    <w:rsid w:val="0093441A"/>
    <w:rsid w:val="00934AB8"/>
    <w:rsid w:val="00937ECE"/>
    <w:rsid w:val="009410F3"/>
    <w:rsid w:val="009416B3"/>
    <w:rsid w:val="00941AB3"/>
    <w:rsid w:val="00942E5F"/>
    <w:rsid w:val="00943CCB"/>
    <w:rsid w:val="009522C3"/>
    <w:rsid w:val="00956DBE"/>
    <w:rsid w:val="00957E7D"/>
    <w:rsid w:val="00960FA7"/>
    <w:rsid w:val="009621F3"/>
    <w:rsid w:val="00966467"/>
    <w:rsid w:val="0096659D"/>
    <w:rsid w:val="00966CAD"/>
    <w:rsid w:val="00974C6B"/>
    <w:rsid w:val="0097673A"/>
    <w:rsid w:val="00976AAF"/>
    <w:rsid w:val="00985ADD"/>
    <w:rsid w:val="00985BEF"/>
    <w:rsid w:val="009A1EF9"/>
    <w:rsid w:val="009A2223"/>
    <w:rsid w:val="009A2BC7"/>
    <w:rsid w:val="009A5F75"/>
    <w:rsid w:val="009A7420"/>
    <w:rsid w:val="009B1F4F"/>
    <w:rsid w:val="009B413A"/>
    <w:rsid w:val="009B4424"/>
    <w:rsid w:val="009B47AB"/>
    <w:rsid w:val="009B5B70"/>
    <w:rsid w:val="009C1733"/>
    <w:rsid w:val="009C2604"/>
    <w:rsid w:val="009C34F4"/>
    <w:rsid w:val="009D3299"/>
    <w:rsid w:val="009D4C2B"/>
    <w:rsid w:val="009D7A5B"/>
    <w:rsid w:val="009E0F0A"/>
    <w:rsid w:val="009E1809"/>
    <w:rsid w:val="009E2E14"/>
    <w:rsid w:val="009E58F4"/>
    <w:rsid w:val="009E78BE"/>
    <w:rsid w:val="009E79B4"/>
    <w:rsid w:val="009F000A"/>
    <w:rsid w:val="009F11C8"/>
    <w:rsid w:val="009F50DD"/>
    <w:rsid w:val="009F5EF9"/>
    <w:rsid w:val="009F6B10"/>
    <w:rsid w:val="00A00F9A"/>
    <w:rsid w:val="00A01F14"/>
    <w:rsid w:val="00A02951"/>
    <w:rsid w:val="00A02B28"/>
    <w:rsid w:val="00A07054"/>
    <w:rsid w:val="00A0742D"/>
    <w:rsid w:val="00A102E0"/>
    <w:rsid w:val="00A10640"/>
    <w:rsid w:val="00A1095A"/>
    <w:rsid w:val="00A11046"/>
    <w:rsid w:val="00A20838"/>
    <w:rsid w:val="00A26E09"/>
    <w:rsid w:val="00A31907"/>
    <w:rsid w:val="00A33C79"/>
    <w:rsid w:val="00A43881"/>
    <w:rsid w:val="00A46084"/>
    <w:rsid w:val="00A47034"/>
    <w:rsid w:val="00A47EE7"/>
    <w:rsid w:val="00A5135A"/>
    <w:rsid w:val="00A515A1"/>
    <w:rsid w:val="00A543BB"/>
    <w:rsid w:val="00A55E2B"/>
    <w:rsid w:val="00A55E46"/>
    <w:rsid w:val="00A56432"/>
    <w:rsid w:val="00A56615"/>
    <w:rsid w:val="00A57C59"/>
    <w:rsid w:val="00A60118"/>
    <w:rsid w:val="00A60295"/>
    <w:rsid w:val="00A60824"/>
    <w:rsid w:val="00A64396"/>
    <w:rsid w:val="00A643C3"/>
    <w:rsid w:val="00A71BA3"/>
    <w:rsid w:val="00A75DD3"/>
    <w:rsid w:val="00A7775B"/>
    <w:rsid w:val="00A81565"/>
    <w:rsid w:val="00A824D5"/>
    <w:rsid w:val="00A84A64"/>
    <w:rsid w:val="00A9156E"/>
    <w:rsid w:val="00A923E2"/>
    <w:rsid w:val="00A92D69"/>
    <w:rsid w:val="00A931E7"/>
    <w:rsid w:val="00AA101E"/>
    <w:rsid w:val="00AA18D5"/>
    <w:rsid w:val="00AA1B61"/>
    <w:rsid w:val="00AA20ED"/>
    <w:rsid w:val="00AA2F39"/>
    <w:rsid w:val="00AA3CD3"/>
    <w:rsid w:val="00AA5723"/>
    <w:rsid w:val="00AA5B57"/>
    <w:rsid w:val="00AA7723"/>
    <w:rsid w:val="00AA7B5F"/>
    <w:rsid w:val="00AB0BAB"/>
    <w:rsid w:val="00AB1175"/>
    <w:rsid w:val="00AB6B69"/>
    <w:rsid w:val="00AB71FB"/>
    <w:rsid w:val="00AC273A"/>
    <w:rsid w:val="00AC3FB5"/>
    <w:rsid w:val="00AC55F2"/>
    <w:rsid w:val="00AD081D"/>
    <w:rsid w:val="00AD196E"/>
    <w:rsid w:val="00AD1983"/>
    <w:rsid w:val="00AD1C40"/>
    <w:rsid w:val="00AD2B14"/>
    <w:rsid w:val="00AD3004"/>
    <w:rsid w:val="00AD5F10"/>
    <w:rsid w:val="00AD7719"/>
    <w:rsid w:val="00AD78BF"/>
    <w:rsid w:val="00AE2681"/>
    <w:rsid w:val="00AE3D95"/>
    <w:rsid w:val="00AE4AAC"/>
    <w:rsid w:val="00AF0FE3"/>
    <w:rsid w:val="00AF333F"/>
    <w:rsid w:val="00AF431B"/>
    <w:rsid w:val="00AF49DE"/>
    <w:rsid w:val="00AF5906"/>
    <w:rsid w:val="00AF62EC"/>
    <w:rsid w:val="00AF70A3"/>
    <w:rsid w:val="00AF7892"/>
    <w:rsid w:val="00B0132D"/>
    <w:rsid w:val="00B032C1"/>
    <w:rsid w:val="00B032D0"/>
    <w:rsid w:val="00B03370"/>
    <w:rsid w:val="00B03FB9"/>
    <w:rsid w:val="00B06B31"/>
    <w:rsid w:val="00B157A5"/>
    <w:rsid w:val="00B2325C"/>
    <w:rsid w:val="00B2549A"/>
    <w:rsid w:val="00B34213"/>
    <w:rsid w:val="00B34F12"/>
    <w:rsid w:val="00B378E9"/>
    <w:rsid w:val="00B37B61"/>
    <w:rsid w:val="00B37BDC"/>
    <w:rsid w:val="00B4043F"/>
    <w:rsid w:val="00B4051B"/>
    <w:rsid w:val="00B40AA4"/>
    <w:rsid w:val="00B40E1F"/>
    <w:rsid w:val="00B443B2"/>
    <w:rsid w:val="00B5023D"/>
    <w:rsid w:val="00B52DAC"/>
    <w:rsid w:val="00B57908"/>
    <w:rsid w:val="00B611B1"/>
    <w:rsid w:val="00B62668"/>
    <w:rsid w:val="00B66FD2"/>
    <w:rsid w:val="00B67792"/>
    <w:rsid w:val="00B70B40"/>
    <w:rsid w:val="00B71BBE"/>
    <w:rsid w:val="00B72455"/>
    <w:rsid w:val="00B7549D"/>
    <w:rsid w:val="00B773DE"/>
    <w:rsid w:val="00B80531"/>
    <w:rsid w:val="00B84377"/>
    <w:rsid w:val="00B906D1"/>
    <w:rsid w:val="00B92C82"/>
    <w:rsid w:val="00B932A1"/>
    <w:rsid w:val="00BA109E"/>
    <w:rsid w:val="00BA4C31"/>
    <w:rsid w:val="00BA5E01"/>
    <w:rsid w:val="00BB0DD6"/>
    <w:rsid w:val="00BB4D52"/>
    <w:rsid w:val="00BD15C4"/>
    <w:rsid w:val="00BD264B"/>
    <w:rsid w:val="00BD38B6"/>
    <w:rsid w:val="00BD42C5"/>
    <w:rsid w:val="00BD54D4"/>
    <w:rsid w:val="00BE0439"/>
    <w:rsid w:val="00BE0A17"/>
    <w:rsid w:val="00BE398D"/>
    <w:rsid w:val="00BE4A8F"/>
    <w:rsid w:val="00BE4B80"/>
    <w:rsid w:val="00BE73F8"/>
    <w:rsid w:val="00BF22B9"/>
    <w:rsid w:val="00BF36C7"/>
    <w:rsid w:val="00BF4CA6"/>
    <w:rsid w:val="00C0013C"/>
    <w:rsid w:val="00C04F51"/>
    <w:rsid w:val="00C0574D"/>
    <w:rsid w:val="00C0710F"/>
    <w:rsid w:val="00C07F80"/>
    <w:rsid w:val="00C121D1"/>
    <w:rsid w:val="00C124C5"/>
    <w:rsid w:val="00C12F35"/>
    <w:rsid w:val="00C134F6"/>
    <w:rsid w:val="00C13BCE"/>
    <w:rsid w:val="00C170A5"/>
    <w:rsid w:val="00C203D8"/>
    <w:rsid w:val="00C2146C"/>
    <w:rsid w:val="00C31EB4"/>
    <w:rsid w:val="00C32650"/>
    <w:rsid w:val="00C36FD9"/>
    <w:rsid w:val="00C41AA3"/>
    <w:rsid w:val="00C42513"/>
    <w:rsid w:val="00C44A99"/>
    <w:rsid w:val="00C459F1"/>
    <w:rsid w:val="00C460BD"/>
    <w:rsid w:val="00C46213"/>
    <w:rsid w:val="00C50E7C"/>
    <w:rsid w:val="00C52AA8"/>
    <w:rsid w:val="00C536DE"/>
    <w:rsid w:val="00C5613A"/>
    <w:rsid w:val="00C5695F"/>
    <w:rsid w:val="00C60DDA"/>
    <w:rsid w:val="00C61775"/>
    <w:rsid w:val="00C67F55"/>
    <w:rsid w:val="00C70B7C"/>
    <w:rsid w:val="00C7215C"/>
    <w:rsid w:val="00C74F65"/>
    <w:rsid w:val="00C76E30"/>
    <w:rsid w:val="00C77015"/>
    <w:rsid w:val="00C7733C"/>
    <w:rsid w:val="00C801F2"/>
    <w:rsid w:val="00C8076E"/>
    <w:rsid w:val="00C81465"/>
    <w:rsid w:val="00C82740"/>
    <w:rsid w:val="00C85FF0"/>
    <w:rsid w:val="00C863F4"/>
    <w:rsid w:val="00C869BF"/>
    <w:rsid w:val="00C8717F"/>
    <w:rsid w:val="00C90D70"/>
    <w:rsid w:val="00C928BC"/>
    <w:rsid w:val="00C95C88"/>
    <w:rsid w:val="00CA0457"/>
    <w:rsid w:val="00CA2615"/>
    <w:rsid w:val="00CA41E6"/>
    <w:rsid w:val="00CA4893"/>
    <w:rsid w:val="00CA57CB"/>
    <w:rsid w:val="00CA6B03"/>
    <w:rsid w:val="00CB284A"/>
    <w:rsid w:val="00CB403E"/>
    <w:rsid w:val="00CB520D"/>
    <w:rsid w:val="00CB5635"/>
    <w:rsid w:val="00CC1574"/>
    <w:rsid w:val="00CC1CCF"/>
    <w:rsid w:val="00CC3624"/>
    <w:rsid w:val="00CC4CA0"/>
    <w:rsid w:val="00CC5340"/>
    <w:rsid w:val="00CC5F06"/>
    <w:rsid w:val="00CC7033"/>
    <w:rsid w:val="00CC7C19"/>
    <w:rsid w:val="00CD173F"/>
    <w:rsid w:val="00CD3DE1"/>
    <w:rsid w:val="00CE07BA"/>
    <w:rsid w:val="00CE10C8"/>
    <w:rsid w:val="00CE207E"/>
    <w:rsid w:val="00CE7BFC"/>
    <w:rsid w:val="00CE7E5B"/>
    <w:rsid w:val="00CF0C1A"/>
    <w:rsid w:val="00CF6138"/>
    <w:rsid w:val="00CF6280"/>
    <w:rsid w:val="00CF7961"/>
    <w:rsid w:val="00D0119A"/>
    <w:rsid w:val="00D053BF"/>
    <w:rsid w:val="00D069A8"/>
    <w:rsid w:val="00D1184A"/>
    <w:rsid w:val="00D1221E"/>
    <w:rsid w:val="00D129EC"/>
    <w:rsid w:val="00D13CA6"/>
    <w:rsid w:val="00D14E30"/>
    <w:rsid w:val="00D17A67"/>
    <w:rsid w:val="00D202F9"/>
    <w:rsid w:val="00D2130C"/>
    <w:rsid w:val="00D23ECB"/>
    <w:rsid w:val="00D24006"/>
    <w:rsid w:val="00D24638"/>
    <w:rsid w:val="00D24BB5"/>
    <w:rsid w:val="00D26914"/>
    <w:rsid w:val="00D277D1"/>
    <w:rsid w:val="00D30E35"/>
    <w:rsid w:val="00D31D37"/>
    <w:rsid w:val="00D32603"/>
    <w:rsid w:val="00D33DB2"/>
    <w:rsid w:val="00D346E8"/>
    <w:rsid w:val="00D41997"/>
    <w:rsid w:val="00D429EB"/>
    <w:rsid w:val="00D4344B"/>
    <w:rsid w:val="00D43697"/>
    <w:rsid w:val="00D45622"/>
    <w:rsid w:val="00D50599"/>
    <w:rsid w:val="00D50F7A"/>
    <w:rsid w:val="00D545E9"/>
    <w:rsid w:val="00D549CC"/>
    <w:rsid w:val="00D57095"/>
    <w:rsid w:val="00D63ED6"/>
    <w:rsid w:val="00D647E9"/>
    <w:rsid w:val="00D67784"/>
    <w:rsid w:val="00D71484"/>
    <w:rsid w:val="00D7639F"/>
    <w:rsid w:val="00D76EDA"/>
    <w:rsid w:val="00D772D3"/>
    <w:rsid w:val="00D77EC2"/>
    <w:rsid w:val="00D77F82"/>
    <w:rsid w:val="00D804AA"/>
    <w:rsid w:val="00D82E5B"/>
    <w:rsid w:val="00D84854"/>
    <w:rsid w:val="00D86BA3"/>
    <w:rsid w:val="00D87F16"/>
    <w:rsid w:val="00D913CC"/>
    <w:rsid w:val="00DA25C9"/>
    <w:rsid w:val="00DA2E86"/>
    <w:rsid w:val="00DA3137"/>
    <w:rsid w:val="00DA3323"/>
    <w:rsid w:val="00DA3349"/>
    <w:rsid w:val="00DA5807"/>
    <w:rsid w:val="00DB17DE"/>
    <w:rsid w:val="00DB1B09"/>
    <w:rsid w:val="00DB39EB"/>
    <w:rsid w:val="00DB3A81"/>
    <w:rsid w:val="00DB4FAD"/>
    <w:rsid w:val="00DB65BD"/>
    <w:rsid w:val="00DC0151"/>
    <w:rsid w:val="00DC1691"/>
    <w:rsid w:val="00DC6803"/>
    <w:rsid w:val="00DD109A"/>
    <w:rsid w:val="00DD2052"/>
    <w:rsid w:val="00DD49CA"/>
    <w:rsid w:val="00DD51D9"/>
    <w:rsid w:val="00DE0696"/>
    <w:rsid w:val="00DE2355"/>
    <w:rsid w:val="00DE24D9"/>
    <w:rsid w:val="00DE315B"/>
    <w:rsid w:val="00DE596B"/>
    <w:rsid w:val="00DF0B8A"/>
    <w:rsid w:val="00DF0FBE"/>
    <w:rsid w:val="00DF1E06"/>
    <w:rsid w:val="00DF3A84"/>
    <w:rsid w:val="00DF585E"/>
    <w:rsid w:val="00DF60A7"/>
    <w:rsid w:val="00DF72EF"/>
    <w:rsid w:val="00E019B9"/>
    <w:rsid w:val="00E03468"/>
    <w:rsid w:val="00E06FD1"/>
    <w:rsid w:val="00E11453"/>
    <w:rsid w:val="00E12F4D"/>
    <w:rsid w:val="00E155A0"/>
    <w:rsid w:val="00E16F19"/>
    <w:rsid w:val="00E17047"/>
    <w:rsid w:val="00E21626"/>
    <w:rsid w:val="00E2632A"/>
    <w:rsid w:val="00E2647C"/>
    <w:rsid w:val="00E34459"/>
    <w:rsid w:val="00E367E4"/>
    <w:rsid w:val="00E40E61"/>
    <w:rsid w:val="00E41C62"/>
    <w:rsid w:val="00E52A66"/>
    <w:rsid w:val="00E53DAA"/>
    <w:rsid w:val="00E607A8"/>
    <w:rsid w:val="00E608AA"/>
    <w:rsid w:val="00E6110D"/>
    <w:rsid w:val="00E62B87"/>
    <w:rsid w:val="00E63A0E"/>
    <w:rsid w:val="00E64924"/>
    <w:rsid w:val="00E64C5F"/>
    <w:rsid w:val="00E70475"/>
    <w:rsid w:val="00E707F4"/>
    <w:rsid w:val="00E70FED"/>
    <w:rsid w:val="00E713F2"/>
    <w:rsid w:val="00E716A1"/>
    <w:rsid w:val="00E71829"/>
    <w:rsid w:val="00E74FC5"/>
    <w:rsid w:val="00E76093"/>
    <w:rsid w:val="00E76564"/>
    <w:rsid w:val="00E76FE3"/>
    <w:rsid w:val="00E77A4F"/>
    <w:rsid w:val="00E81515"/>
    <w:rsid w:val="00E81EA7"/>
    <w:rsid w:val="00E86545"/>
    <w:rsid w:val="00E8707F"/>
    <w:rsid w:val="00E903E1"/>
    <w:rsid w:val="00E90CB9"/>
    <w:rsid w:val="00E944CD"/>
    <w:rsid w:val="00E96714"/>
    <w:rsid w:val="00E97F79"/>
    <w:rsid w:val="00EA023F"/>
    <w:rsid w:val="00EA36EA"/>
    <w:rsid w:val="00EA3D7D"/>
    <w:rsid w:val="00EA4D8B"/>
    <w:rsid w:val="00EB1ABF"/>
    <w:rsid w:val="00EB3D6B"/>
    <w:rsid w:val="00EB4D7D"/>
    <w:rsid w:val="00EB6FFB"/>
    <w:rsid w:val="00EB7271"/>
    <w:rsid w:val="00EB7A0E"/>
    <w:rsid w:val="00EC0F12"/>
    <w:rsid w:val="00EC337D"/>
    <w:rsid w:val="00EC3711"/>
    <w:rsid w:val="00EC3D16"/>
    <w:rsid w:val="00ED1458"/>
    <w:rsid w:val="00ED4248"/>
    <w:rsid w:val="00ED5AFD"/>
    <w:rsid w:val="00ED5F1D"/>
    <w:rsid w:val="00ED627C"/>
    <w:rsid w:val="00ED7559"/>
    <w:rsid w:val="00ED76CF"/>
    <w:rsid w:val="00EE010E"/>
    <w:rsid w:val="00EE3641"/>
    <w:rsid w:val="00EE3FB3"/>
    <w:rsid w:val="00EE4475"/>
    <w:rsid w:val="00EE4BAD"/>
    <w:rsid w:val="00EE4EC3"/>
    <w:rsid w:val="00EE511A"/>
    <w:rsid w:val="00EE6B21"/>
    <w:rsid w:val="00EF3B15"/>
    <w:rsid w:val="00EF4130"/>
    <w:rsid w:val="00EF4457"/>
    <w:rsid w:val="00F0689A"/>
    <w:rsid w:val="00F11F0A"/>
    <w:rsid w:val="00F12E47"/>
    <w:rsid w:val="00F15EAD"/>
    <w:rsid w:val="00F201FE"/>
    <w:rsid w:val="00F33AE5"/>
    <w:rsid w:val="00F34D60"/>
    <w:rsid w:val="00F36DE4"/>
    <w:rsid w:val="00F4045F"/>
    <w:rsid w:val="00F40F50"/>
    <w:rsid w:val="00F42F91"/>
    <w:rsid w:val="00F43048"/>
    <w:rsid w:val="00F44B64"/>
    <w:rsid w:val="00F44E1A"/>
    <w:rsid w:val="00F45130"/>
    <w:rsid w:val="00F47A9C"/>
    <w:rsid w:val="00F47C59"/>
    <w:rsid w:val="00F52C39"/>
    <w:rsid w:val="00F52C9A"/>
    <w:rsid w:val="00F5774C"/>
    <w:rsid w:val="00F615E1"/>
    <w:rsid w:val="00F63FAA"/>
    <w:rsid w:val="00F654EC"/>
    <w:rsid w:val="00F72016"/>
    <w:rsid w:val="00F7640A"/>
    <w:rsid w:val="00F77112"/>
    <w:rsid w:val="00F77B24"/>
    <w:rsid w:val="00F80044"/>
    <w:rsid w:val="00F8515B"/>
    <w:rsid w:val="00F8572B"/>
    <w:rsid w:val="00F863C0"/>
    <w:rsid w:val="00F86B23"/>
    <w:rsid w:val="00F87FC6"/>
    <w:rsid w:val="00F91D9B"/>
    <w:rsid w:val="00F92DA0"/>
    <w:rsid w:val="00F940C5"/>
    <w:rsid w:val="00F9532F"/>
    <w:rsid w:val="00FA1E7E"/>
    <w:rsid w:val="00FA336E"/>
    <w:rsid w:val="00FA5A54"/>
    <w:rsid w:val="00FA6E0C"/>
    <w:rsid w:val="00FB08AF"/>
    <w:rsid w:val="00FB3F0B"/>
    <w:rsid w:val="00FD00CB"/>
    <w:rsid w:val="00FD14D9"/>
    <w:rsid w:val="00FD3A85"/>
    <w:rsid w:val="00FD4308"/>
    <w:rsid w:val="00FD6927"/>
    <w:rsid w:val="00FE0ED8"/>
    <w:rsid w:val="00FE1A0C"/>
    <w:rsid w:val="00FE355A"/>
    <w:rsid w:val="00FF37D4"/>
    <w:rsid w:val="00FF7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F0442"/>
  <w15:docId w15:val="{DA6C347A-902E-43A5-90D4-00DD4A46D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838"/>
    <w:rPr>
      <w:rFonts w:eastAsia="Times New Roman" w:cs="Times New Roman"/>
    </w:rPr>
  </w:style>
  <w:style w:type="paragraph" w:styleId="Heading1">
    <w:name w:val="heading 1"/>
    <w:basedOn w:val="Normal"/>
    <w:next w:val="Normal"/>
    <w:link w:val="Heading1Char"/>
    <w:qFormat/>
    <w:rsid w:val="00D346E8"/>
    <w:pPr>
      <w:keepNext/>
      <w:keepLines/>
      <w:spacing w:before="480"/>
      <w:outlineLvl w:val="0"/>
    </w:pPr>
    <w:rPr>
      <w:rFonts w:eastAsiaTheme="majorEastAsia" w:cstheme="majorBidi"/>
      <w:b/>
      <w:bCs/>
      <w:color w:val="365F91" w:themeColor="accent1" w:themeShade="BF"/>
      <w:sz w:val="28"/>
      <w:szCs w:val="28"/>
      <w:lang w:eastAsia="en-GB"/>
    </w:rPr>
  </w:style>
  <w:style w:type="paragraph" w:styleId="Heading2">
    <w:name w:val="heading 2"/>
    <w:basedOn w:val="Normal"/>
    <w:next w:val="Normal"/>
    <w:link w:val="Heading2Char"/>
    <w:uiPriority w:val="9"/>
    <w:unhideWhenUsed/>
    <w:qFormat/>
    <w:rsid w:val="007D41C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747E4C"/>
    <w:pPr>
      <w:keepNext/>
      <w:autoSpaceDE w:val="0"/>
      <w:autoSpaceDN w:val="0"/>
      <w:adjustRightInd w:val="0"/>
      <w:spacing w:after="120"/>
      <w:outlineLvl w:val="2"/>
    </w:pPr>
    <w:rPr>
      <w:rFonts w:ascii="Gill Sans MT" w:hAnsi="Gill Sans MT"/>
      <w:i/>
      <w:iCs/>
      <w:color w:val="000000"/>
    </w:rPr>
  </w:style>
  <w:style w:type="paragraph" w:styleId="Heading4">
    <w:name w:val="heading 4"/>
    <w:basedOn w:val="Normal"/>
    <w:next w:val="Normal"/>
    <w:link w:val="Heading4Char"/>
    <w:unhideWhenUsed/>
    <w:qFormat/>
    <w:rsid w:val="00747E4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46E8"/>
    <w:rPr>
      <w:rFonts w:eastAsiaTheme="majorEastAsia" w:cstheme="majorBidi"/>
      <w:b/>
      <w:bCs/>
      <w:color w:val="365F91" w:themeColor="accent1" w:themeShade="BF"/>
      <w:sz w:val="28"/>
      <w:szCs w:val="28"/>
      <w:lang w:eastAsia="en-GB"/>
    </w:rPr>
  </w:style>
  <w:style w:type="character" w:customStyle="1" w:styleId="Heading3Char">
    <w:name w:val="Heading 3 Char"/>
    <w:basedOn w:val="DefaultParagraphFont"/>
    <w:link w:val="Heading3"/>
    <w:rsid w:val="00747E4C"/>
    <w:rPr>
      <w:rFonts w:ascii="Gill Sans MT" w:eastAsia="Times New Roman" w:hAnsi="Gill Sans MT" w:cs="Times New Roman"/>
      <w:i/>
      <w:iCs/>
      <w:color w:val="000000"/>
    </w:rPr>
  </w:style>
  <w:style w:type="character" w:customStyle="1" w:styleId="Heading4Char">
    <w:name w:val="Heading 4 Char"/>
    <w:basedOn w:val="DefaultParagraphFont"/>
    <w:link w:val="Heading4"/>
    <w:rsid w:val="00747E4C"/>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unhideWhenUsed/>
    <w:qFormat/>
    <w:rsid w:val="00D1221E"/>
    <w:pPr>
      <w:spacing w:line="276" w:lineRule="auto"/>
      <w:outlineLvl w:val="9"/>
    </w:pPr>
    <w:rPr>
      <w:rFonts w:ascii="Cambria" w:eastAsia="MS Gothic" w:hAnsi="Cambria" w:cs="Times New Roman"/>
      <w:color w:val="365F91"/>
      <w:lang w:val="en-US" w:eastAsia="ja-JP"/>
    </w:rPr>
  </w:style>
  <w:style w:type="paragraph" w:styleId="ListParagraph">
    <w:name w:val="List Paragraph"/>
    <w:basedOn w:val="Normal"/>
    <w:uiPriority w:val="34"/>
    <w:qFormat/>
    <w:rsid w:val="00D1221E"/>
    <w:pPr>
      <w:ind w:left="720"/>
      <w:contextualSpacing/>
    </w:pPr>
  </w:style>
  <w:style w:type="paragraph" w:styleId="FootnoteText">
    <w:name w:val="footnote text"/>
    <w:basedOn w:val="Normal"/>
    <w:link w:val="FootnoteTextChar"/>
    <w:uiPriority w:val="99"/>
    <w:semiHidden/>
    <w:unhideWhenUsed/>
    <w:rsid w:val="00AF431B"/>
    <w:rPr>
      <w:sz w:val="20"/>
      <w:szCs w:val="20"/>
    </w:rPr>
  </w:style>
  <w:style w:type="character" w:customStyle="1" w:styleId="FootnoteTextChar">
    <w:name w:val="Footnote Text Char"/>
    <w:basedOn w:val="DefaultParagraphFont"/>
    <w:link w:val="FootnoteText"/>
    <w:uiPriority w:val="99"/>
    <w:semiHidden/>
    <w:rsid w:val="00AF431B"/>
    <w:rPr>
      <w:rFonts w:eastAsia="Times New Roman" w:cs="Times New Roman"/>
      <w:sz w:val="20"/>
      <w:szCs w:val="20"/>
    </w:rPr>
  </w:style>
  <w:style w:type="character" w:styleId="FootnoteReference">
    <w:name w:val="footnote reference"/>
    <w:basedOn w:val="DefaultParagraphFont"/>
    <w:uiPriority w:val="99"/>
    <w:semiHidden/>
    <w:unhideWhenUsed/>
    <w:rsid w:val="00AF431B"/>
    <w:rPr>
      <w:vertAlign w:val="superscript"/>
    </w:rPr>
  </w:style>
  <w:style w:type="character" w:styleId="Hyperlink">
    <w:name w:val="Hyperlink"/>
    <w:basedOn w:val="DefaultParagraphFont"/>
    <w:uiPriority w:val="99"/>
    <w:unhideWhenUsed/>
    <w:rsid w:val="001724A0"/>
    <w:rPr>
      <w:rFonts w:cs="Arial"/>
      <w:noProof/>
      <w:color w:val="0000FF" w:themeColor="hyperlink"/>
      <w:u w:val="single"/>
    </w:rPr>
  </w:style>
  <w:style w:type="paragraph" w:styleId="BalloonText">
    <w:name w:val="Balloon Text"/>
    <w:basedOn w:val="Normal"/>
    <w:link w:val="BalloonTextChar"/>
    <w:semiHidden/>
    <w:unhideWhenUsed/>
    <w:rsid w:val="00AF431B"/>
    <w:rPr>
      <w:rFonts w:ascii="Tahoma" w:hAnsi="Tahoma" w:cs="Tahoma"/>
      <w:sz w:val="16"/>
      <w:szCs w:val="16"/>
    </w:rPr>
  </w:style>
  <w:style w:type="character" w:customStyle="1" w:styleId="BalloonTextChar">
    <w:name w:val="Balloon Text Char"/>
    <w:basedOn w:val="DefaultParagraphFont"/>
    <w:link w:val="BalloonText"/>
    <w:semiHidden/>
    <w:rsid w:val="00AF431B"/>
    <w:rPr>
      <w:rFonts w:ascii="Tahoma" w:eastAsia="Times New Roman" w:hAnsi="Tahoma" w:cs="Tahoma"/>
      <w:sz w:val="16"/>
      <w:szCs w:val="16"/>
    </w:rPr>
  </w:style>
  <w:style w:type="paragraph" w:styleId="BodyText2">
    <w:name w:val="Body Text 2"/>
    <w:basedOn w:val="Normal"/>
    <w:link w:val="BodyText2Char"/>
    <w:rsid w:val="00747E4C"/>
    <w:rPr>
      <w:b/>
      <w:bCs/>
    </w:rPr>
  </w:style>
  <w:style w:type="character" w:customStyle="1" w:styleId="BodyText2Char">
    <w:name w:val="Body Text 2 Char"/>
    <w:basedOn w:val="DefaultParagraphFont"/>
    <w:link w:val="BodyText2"/>
    <w:rsid w:val="00747E4C"/>
    <w:rPr>
      <w:rFonts w:eastAsia="Times New Roman" w:cs="Times New Roman"/>
      <w:b/>
      <w:bCs/>
    </w:rPr>
  </w:style>
  <w:style w:type="paragraph" w:styleId="BodyText3">
    <w:name w:val="Body Text 3"/>
    <w:basedOn w:val="Normal"/>
    <w:link w:val="BodyText3Char"/>
    <w:rsid w:val="00747E4C"/>
    <w:pPr>
      <w:spacing w:after="120"/>
    </w:pPr>
    <w:rPr>
      <w:sz w:val="16"/>
      <w:szCs w:val="16"/>
    </w:rPr>
  </w:style>
  <w:style w:type="character" w:customStyle="1" w:styleId="BodyText3Char">
    <w:name w:val="Body Text 3 Char"/>
    <w:basedOn w:val="DefaultParagraphFont"/>
    <w:link w:val="BodyText3"/>
    <w:rsid w:val="00747E4C"/>
    <w:rPr>
      <w:rFonts w:eastAsia="Times New Roman" w:cs="Times New Roman"/>
      <w:sz w:val="16"/>
      <w:szCs w:val="16"/>
    </w:rPr>
  </w:style>
  <w:style w:type="character" w:customStyle="1" w:styleId="CommentTextChar">
    <w:name w:val="Comment Text Char"/>
    <w:basedOn w:val="DefaultParagraphFont"/>
    <w:link w:val="CommentText"/>
    <w:semiHidden/>
    <w:rsid w:val="00747E4C"/>
    <w:rPr>
      <w:rFonts w:eastAsia="Times New Roman" w:cs="Times New Roman"/>
      <w:sz w:val="20"/>
      <w:szCs w:val="20"/>
    </w:rPr>
  </w:style>
  <w:style w:type="paragraph" w:styleId="CommentText">
    <w:name w:val="annotation text"/>
    <w:basedOn w:val="Normal"/>
    <w:link w:val="CommentTextChar"/>
    <w:semiHidden/>
    <w:rsid w:val="00747E4C"/>
    <w:rPr>
      <w:sz w:val="20"/>
      <w:szCs w:val="20"/>
    </w:rPr>
  </w:style>
  <w:style w:type="character" w:customStyle="1" w:styleId="CommentSubjectChar">
    <w:name w:val="Comment Subject Char"/>
    <w:basedOn w:val="CommentTextChar"/>
    <w:link w:val="CommentSubject"/>
    <w:semiHidden/>
    <w:rsid w:val="00747E4C"/>
    <w:rPr>
      <w:rFonts w:eastAsia="Times New Roman" w:cs="Times New Roman"/>
      <w:b/>
      <w:bCs/>
      <w:sz w:val="20"/>
      <w:szCs w:val="20"/>
    </w:rPr>
  </w:style>
  <w:style w:type="paragraph" w:styleId="CommentSubject">
    <w:name w:val="annotation subject"/>
    <w:basedOn w:val="CommentText"/>
    <w:next w:val="CommentText"/>
    <w:link w:val="CommentSubjectChar"/>
    <w:semiHidden/>
    <w:rsid w:val="00747E4C"/>
    <w:rPr>
      <w:b/>
      <w:bCs/>
    </w:rPr>
  </w:style>
  <w:style w:type="character" w:customStyle="1" w:styleId="CommentSubjectChar1">
    <w:name w:val="Comment Subject Char1"/>
    <w:basedOn w:val="CommentTextChar"/>
    <w:uiPriority w:val="99"/>
    <w:semiHidden/>
    <w:rsid w:val="00747E4C"/>
    <w:rPr>
      <w:rFonts w:eastAsia="Times New Roman" w:cs="Times New Roman"/>
      <w:b/>
      <w:bCs/>
      <w:sz w:val="20"/>
      <w:szCs w:val="20"/>
    </w:rPr>
  </w:style>
  <w:style w:type="paragraph" w:styleId="Header">
    <w:name w:val="header"/>
    <w:basedOn w:val="Normal"/>
    <w:link w:val="HeaderChar"/>
    <w:rsid w:val="00747E4C"/>
    <w:pPr>
      <w:tabs>
        <w:tab w:val="center" w:pos="4153"/>
        <w:tab w:val="right" w:pos="8306"/>
      </w:tabs>
    </w:pPr>
  </w:style>
  <w:style w:type="character" w:customStyle="1" w:styleId="HeaderChar">
    <w:name w:val="Header Char"/>
    <w:basedOn w:val="DefaultParagraphFont"/>
    <w:link w:val="Header"/>
    <w:rsid w:val="00747E4C"/>
    <w:rPr>
      <w:rFonts w:eastAsia="Times New Roman" w:cs="Times New Roman"/>
    </w:rPr>
  </w:style>
  <w:style w:type="paragraph" w:styleId="Footer">
    <w:name w:val="footer"/>
    <w:basedOn w:val="Normal"/>
    <w:link w:val="FooterChar"/>
    <w:uiPriority w:val="99"/>
    <w:rsid w:val="00747E4C"/>
    <w:pPr>
      <w:tabs>
        <w:tab w:val="center" w:pos="4153"/>
        <w:tab w:val="right" w:pos="8306"/>
      </w:tabs>
    </w:pPr>
  </w:style>
  <w:style w:type="character" w:customStyle="1" w:styleId="FooterChar">
    <w:name w:val="Footer Char"/>
    <w:basedOn w:val="DefaultParagraphFont"/>
    <w:link w:val="Footer"/>
    <w:uiPriority w:val="99"/>
    <w:rsid w:val="00747E4C"/>
    <w:rPr>
      <w:rFonts w:eastAsia="Times New Roman" w:cs="Times New Roman"/>
    </w:rPr>
  </w:style>
  <w:style w:type="character" w:styleId="PageNumber">
    <w:name w:val="page number"/>
    <w:basedOn w:val="DefaultParagraphFont"/>
    <w:rsid w:val="00747E4C"/>
  </w:style>
  <w:style w:type="paragraph" w:styleId="NormalWeb">
    <w:name w:val="Normal (Web)"/>
    <w:basedOn w:val="Normal"/>
    <w:uiPriority w:val="99"/>
    <w:rsid w:val="00747E4C"/>
    <w:pPr>
      <w:spacing w:before="100" w:beforeAutospacing="1" w:after="100" w:afterAutospacing="1"/>
    </w:pPr>
    <w:rPr>
      <w:rFonts w:ascii="Times New Roman" w:hAnsi="Times New Roman"/>
      <w:lang w:eastAsia="en-GB"/>
    </w:rPr>
  </w:style>
  <w:style w:type="character" w:customStyle="1" w:styleId="DocumentMapChar">
    <w:name w:val="Document Map Char"/>
    <w:basedOn w:val="DefaultParagraphFont"/>
    <w:link w:val="DocumentMap"/>
    <w:semiHidden/>
    <w:rsid w:val="00747E4C"/>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747E4C"/>
    <w:pPr>
      <w:shd w:val="clear" w:color="auto" w:fill="000080"/>
    </w:pPr>
    <w:rPr>
      <w:rFonts w:ascii="Tahoma" w:hAnsi="Tahoma" w:cs="Tahoma"/>
      <w:sz w:val="20"/>
      <w:szCs w:val="20"/>
    </w:rPr>
  </w:style>
  <w:style w:type="character" w:customStyle="1" w:styleId="DocumentMapChar1">
    <w:name w:val="Document Map Char1"/>
    <w:basedOn w:val="DefaultParagraphFont"/>
    <w:uiPriority w:val="99"/>
    <w:semiHidden/>
    <w:rsid w:val="00747E4C"/>
    <w:rPr>
      <w:rFonts w:ascii="Tahoma" w:eastAsia="Times New Roman" w:hAnsi="Tahoma" w:cs="Tahoma"/>
      <w:sz w:val="16"/>
      <w:szCs w:val="16"/>
    </w:rPr>
  </w:style>
  <w:style w:type="paragraph" w:styleId="TOC1">
    <w:name w:val="toc 1"/>
    <w:basedOn w:val="Normal"/>
    <w:next w:val="Normal"/>
    <w:autoRedefine/>
    <w:uiPriority w:val="39"/>
    <w:rsid w:val="00917DC4"/>
    <w:pPr>
      <w:spacing w:before="120" w:after="120"/>
    </w:pPr>
    <w:rPr>
      <w:bCs/>
      <w:caps/>
      <w:sz w:val="20"/>
      <w:szCs w:val="20"/>
    </w:rPr>
  </w:style>
  <w:style w:type="paragraph" w:styleId="Subtitle">
    <w:name w:val="Subtitle"/>
    <w:basedOn w:val="Normal"/>
    <w:next w:val="Normal"/>
    <w:link w:val="SubtitleChar"/>
    <w:uiPriority w:val="11"/>
    <w:qFormat/>
    <w:rsid w:val="00747E4C"/>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747E4C"/>
    <w:rPr>
      <w:rFonts w:ascii="Cambria" w:eastAsia="Times New Roman" w:hAnsi="Cambria" w:cs="Times New Roman"/>
    </w:rPr>
  </w:style>
  <w:style w:type="paragraph" w:customStyle="1" w:styleId="nospacing">
    <w:name w:val="nospacing"/>
    <w:basedOn w:val="Normal"/>
    <w:uiPriority w:val="99"/>
    <w:rsid w:val="00747E4C"/>
    <w:pPr>
      <w:spacing w:before="100" w:beforeAutospacing="1" w:after="100" w:afterAutospacing="1"/>
    </w:pPr>
    <w:rPr>
      <w:rFonts w:ascii="Times New Roman" w:eastAsia="Calibri" w:hAnsi="Times New Roman"/>
      <w:lang w:eastAsia="en-GB"/>
    </w:rPr>
  </w:style>
  <w:style w:type="character" w:styleId="FollowedHyperlink">
    <w:name w:val="FollowedHyperlink"/>
    <w:basedOn w:val="DefaultParagraphFont"/>
    <w:uiPriority w:val="99"/>
    <w:semiHidden/>
    <w:unhideWhenUsed/>
    <w:rsid w:val="00195802"/>
    <w:rPr>
      <w:color w:val="800080" w:themeColor="followedHyperlink"/>
      <w:u w:val="single"/>
    </w:rPr>
  </w:style>
  <w:style w:type="paragraph" w:customStyle="1" w:styleId="Default">
    <w:name w:val="Default"/>
    <w:rsid w:val="00630266"/>
    <w:pPr>
      <w:autoSpaceDE w:val="0"/>
      <w:autoSpaceDN w:val="0"/>
      <w:adjustRightInd w:val="0"/>
    </w:pPr>
    <w:rPr>
      <w:color w:val="000000"/>
    </w:rPr>
  </w:style>
  <w:style w:type="character" w:customStyle="1" w:styleId="Heading2Char">
    <w:name w:val="Heading 2 Char"/>
    <w:basedOn w:val="DefaultParagraphFont"/>
    <w:link w:val="Heading2"/>
    <w:uiPriority w:val="9"/>
    <w:rsid w:val="007D41C5"/>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D346E8"/>
    <w:pPr>
      <w:ind w:left="240"/>
    </w:pPr>
    <w:rPr>
      <w:rFonts w:asciiTheme="minorHAnsi" w:hAnsiTheme="minorHAnsi"/>
      <w:smallCaps/>
      <w:sz w:val="20"/>
      <w:szCs w:val="20"/>
    </w:rPr>
  </w:style>
  <w:style w:type="paragraph" w:styleId="TOC3">
    <w:name w:val="toc 3"/>
    <w:basedOn w:val="Normal"/>
    <w:next w:val="Normal"/>
    <w:autoRedefine/>
    <w:uiPriority w:val="39"/>
    <w:unhideWhenUsed/>
    <w:rsid w:val="00D346E8"/>
    <w:pPr>
      <w:ind w:left="480"/>
    </w:pPr>
    <w:rPr>
      <w:rFonts w:asciiTheme="minorHAnsi" w:hAnsiTheme="minorHAnsi"/>
      <w:i/>
      <w:iCs/>
      <w:sz w:val="20"/>
      <w:szCs w:val="20"/>
    </w:rPr>
  </w:style>
  <w:style w:type="paragraph" w:styleId="TOC4">
    <w:name w:val="toc 4"/>
    <w:basedOn w:val="Normal"/>
    <w:next w:val="Normal"/>
    <w:autoRedefine/>
    <w:uiPriority w:val="39"/>
    <w:unhideWhenUsed/>
    <w:rsid w:val="00D346E8"/>
    <w:pPr>
      <w:ind w:left="720"/>
    </w:pPr>
    <w:rPr>
      <w:rFonts w:asciiTheme="minorHAnsi" w:hAnsiTheme="minorHAnsi"/>
      <w:sz w:val="18"/>
      <w:szCs w:val="18"/>
    </w:rPr>
  </w:style>
  <w:style w:type="paragraph" w:styleId="TOC5">
    <w:name w:val="toc 5"/>
    <w:basedOn w:val="Normal"/>
    <w:next w:val="Normal"/>
    <w:autoRedefine/>
    <w:uiPriority w:val="39"/>
    <w:unhideWhenUsed/>
    <w:rsid w:val="00D346E8"/>
    <w:pPr>
      <w:ind w:left="960"/>
    </w:pPr>
    <w:rPr>
      <w:rFonts w:asciiTheme="minorHAnsi" w:hAnsiTheme="minorHAnsi"/>
      <w:sz w:val="18"/>
      <w:szCs w:val="18"/>
    </w:rPr>
  </w:style>
  <w:style w:type="paragraph" w:styleId="TOC6">
    <w:name w:val="toc 6"/>
    <w:basedOn w:val="Normal"/>
    <w:next w:val="Normal"/>
    <w:autoRedefine/>
    <w:uiPriority w:val="39"/>
    <w:unhideWhenUsed/>
    <w:rsid w:val="00D346E8"/>
    <w:pPr>
      <w:ind w:left="1200"/>
    </w:pPr>
    <w:rPr>
      <w:rFonts w:asciiTheme="minorHAnsi" w:hAnsiTheme="minorHAnsi"/>
      <w:sz w:val="18"/>
      <w:szCs w:val="18"/>
    </w:rPr>
  </w:style>
  <w:style w:type="paragraph" w:styleId="TOC7">
    <w:name w:val="toc 7"/>
    <w:basedOn w:val="Normal"/>
    <w:next w:val="Normal"/>
    <w:autoRedefine/>
    <w:uiPriority w:val="39"/>
    <w:unhideWhenUsed/>
    <w:rsid w:val="00D346E8"/>
    <w:pPr>
      <w:ind w:left="1440"/>
    </w:pPr>
    <w:rPr>
      <w:rFonts w:asciiTheme="minorHAnsi" w:hAnsiTheme="minorHAnsi"/>
      <w:sz w:val="18"/>
      <w:szCs w:val="18"/>
    </w:rPr>
  </w:style>
  <w:style w:type="paragraph" w:styleId="TOC8">
    <w:name w:val="toc 8"/>
    <w:basedOn w:val="Normal"/>
    <w:next w:val="Normal"/>
    <w:autoRedefine/>
    <w:uiPriority w:val="39"/>
    <w:unhideWhenUsed/>
    <w:rsid w:val="00D346E8"/>
    <w:pPr>
      <w:ind w:left="1680"/>
    </w:pPr>
    <w:rPr>
      <w:rFonts w:asciiTheme="minorHAnsi" w:hAnsiTheme="minorHAnsi"/>
      <w:sz w:val="18"/>
      <w:szCs w:val="18"/>
    </w:rPr>
  </w:style>
  <w:style w:type="paragraph" w:styleId="TOC9">
    <w:name w:val="toc 9"/>
    <w:basedOn w:val="Normal"/>
    <w:next w:val="Normal"/>
    <w:autoRedefine/>
    <w:uiPriority w:val="39"/>
    <w:unhideWhenUsed/>
    <w:rsid w:val="00D346E8"/>
    <w:pPr>
      <w:ind w:left="1920"/>
    </w:pPr>
    <w:rPr>
      <w:rFonts w:asciiTheme="minorHAnsi" w:hAnsiTheme="minorHAnsi"/>
      <w:sz w:val="18"/>
      <w:szCs w:val="18"/>
    </w:rPr>
  </w:style>
  <w:style w:type="paragraph" w:customStyle="1" w:styleId="tel">
    <w:name w:val="tel"/>
    <w:basedOn w:val="Normal"/>
    <w:rsid w:val="005C789A"/>
    <w:pPr>
      <w:spacing w:before="100" w:beforeAutospacing="1" w:after="100" w:afterAutospacing="1"/>
    </w:pPr>
    <w:rPr>
      <w:rFonts w:ascii="Times New Roman" w:hAnsi="Times New Roman"/>
      <w:lang w:eastAsia="en-GB"/>
    </w:rPr>
  </w:style>
  <w:style w:type="character" w:styleId="Strong">
    <w:name w:val="Strong"/>
    <w:basedOn w:val="DefaultParagraphFont"/>
    <w:uiPriority w:val="22"/>
    <w:qFormat/>
    <w:rsid w:val="005C789A"/>
    <w:rPr>
      <w:b/>
      <w:bCs/>
    </w:rPr>
  </w:style>
  <w:style w:type="paragraph" w:customStyle="1" w:styleId="fax">
    <w:name w:val="fax"/>
    <w:basedOn w:val="Normal"/>
    <w:rsid w:val="005C789A"/>
    <w:pPr>
      <w:spacing w:before="100" w:beforeAutospacing="1" w:after="100" w:afterAutospacing="1"/>
    </w:pPr>
    <w:rPr>
      <w:rFonts w:ascii="Times New Roman" w:hAnsi="Times New Roman"/>
      <w:lang w:eastAsia="en-GB"/>
    </w:rPr>
  </w:style>
  <w:style w:type="character" w:styleId="CommentReference">
    <w:name w:val="annotation reference"/>
    <w:basedOn w:val="DefaultParagraphFont"/>
    <w:semiHidden/>
    <w:unhideWhenUsed/>
    <w:rsid w:val="00601363"/>
    <w:rPr>
      <w:sz w:val="16"/>
      <w:szCs w:val="16"/>
    </w:rPr>
  </w:style>
  <w:style w:type="character" w:customStyle="1" w:styleId="contactustitlenumber">
    <w:name w:val="contactus_title_number"/>
    <w:basedOn w:val="DefaultParagraphFont"/>
    <w:rsid w:val="00E607A8"/>
  </w:style>
  <w:style w:type="paragraph" w:styleId="Title">
    <w:name w:val="Title"/>
    <w:basedOn w:val="Normal"/>
    <w:next w:val="Normal"/>
    <w:link w:val="TitleChar"/>
    <w:uiPriority w:val="10"/>
    <w:qFormat/>
    <w:rsid w:val="00871E0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871E0F"/>
    <w:rPr>
      <w:rFonts w:asciiTheme="majorHAnsi" w:eastAsiaTheme="majorEastAsia" w:hAnsiTheme="majorHAnsi" w:cstheme="majorBidi"/>
      <w:color w:val="17365D" w:themeColor="text2" w:themeShade="BF"/>
      <w:spacing w:val="5"/>
      <w:kern w:val="28"/>
      <w:sz w:val="52"/>
      <w:szCs w:val="52"/>
      <w:lang w:val="en-US" w:eastAsia="ja-JP"/>
    </w:rPr>
  </w:style>
  <w:style w:type="paragraph" w:styleId="EndnoteText">
    <w:name w:val="endnote text"/>
    <w:basedOn w:val="Normal"/>
    <w:link w:val="EndnoteTextChar"/>
    <w:uiPriority w:val="99"/>
    <w:semiHidden/>
    <w:unhideWhenUsed/>
    <w:rsid w:val="00FD4308"/>
    <w:rPr>
      <w:sz w:val="20"/>
      <w:szCs w:val="20"/>
    </w:rPr>
  </w:style>
  <w:style w:type="character" w:customStyle="1" w:styleId="EndnoteTextChar">
    <w:name w:val="Endnote Text Char"/>
    <w:basedOn w:val="DefaultParagraphFont"/>
    <w:link w:val="EndnoteText"/>
    <w:uiPriority w:val="99"/>
    <w:semiHidden/>
    <w:rsid w:val="00FD4308"/>
    <w:rPr>
      <w:rFonts w:eastAsia="Times New Roman" w:cs="Times New Roman"/>
      <w:sz w:val="20"/>
      <w:szCs w:val="20"/>
    </w:rPr>
  </w:style>
  <w:style w:type="character" w:styleId="EndnoteReference">
    <w:name w:val="endnote reference"/>
    <w:basedOn w:val="DefaultParagraphFont"/>
    <w:uiPriority w:val="99"/>
    <w:semiHidden/>
    <w:unhideWhenUsed/>
    <w:rsid w:val="00FD4308"/>
    <w:rPr>
      <w:vertAlign w:val="superscript"/>
    </w:rPr>
  </w:style>
  <w:style w:type="numbering" w:customStyle="1" w:styleId="Style1">
    <w:name w:val="Style1"/>
    <w:uiPriority w:val="99"/>
    <w:rsid w:val="00AF70A3"/>
    <w:pPr>
      <w:numPr>
        <w:numId w:val="11"/>
      </w:numPr>
    </w:pPr>
  </w:style>
  <w:style w:type="table" w:customStyle="1" w:styleId="TableGrid1">
    <w:name w:val="Table Grid1"/>
    <w:basedOn w:val="TableNormal"/>
    <w:next w:val="TableGrid"/>
    <w:uiPriority w:val="59"/>
    <w:rsid w:val="003B6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3B6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549CC"/>
    <w:rPr>
      <w:rFonts w:eastAsia="Times New Roman" w:cs="Times New Roman"/>
    </w:rPr>
  </w:style>
  <w:style w:type="character" w:styleId="UnresolvedMention">
    <w:name w:val="Unresolved Mention"/>
    <w:basedOn w:val="DefaultParagraphFont"/>
    <w:uiPriority w:val="99"/>
    <w:semiHidden/>
    <w:unhideWhenUsed/>
    <w:rsid w:val="00EE4B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1363">
      <w:bodyDiv w:val="1"/>
      <w:marLeft w:val="0"/>
      <w:marRight w:val="0"/>
      <w:marTop w:val="0"/>
      <w:marBottom w:val="0"/>
      <w:divBdr>
        <w:top w:val="none" w:sz="0" w:space="0" w:color="auto"/>
        <w:left w:val="none" w:sz="0" w:space="0" w:color="auto"/>
        <w:bottom w:val="none" w:sz="0" w:space="0" w:color="auto"/>
        <w:right w:val="none" w:sz="0" w:space="0" w:color="auto"/>
      </w:divBdr>
    </w:div>
    <w:div w:id="117190405">
      <w:bodyDiv w:val="1"/>
      <w:marLeft w:val="0"/>
      <w:marRight w:val="0"/>
      <w:marTop w:val="0"/>
      <w:marBottom w:val="0"/>
      <w:divBdr>
        <w:top w:val="none" w:sz="0" w:space="0" w:color="auto"/>
        <w:left w:val="none" w:sz="0" w:space="0" w:color="auto"/>
        <w:bottom w:val="none" w:sz="0" w:space="0" w:color="auto"/>
        <w:right w:val="none" w:sz="0" w:space="0" w:color="auto"/>
      </w:divBdr>
    </w:div>
    <w:div w:id="293953753">
      <w:bodyDiv w:val="1"/>
      <w:marLeft w:val="0"/>
      <w:marRight w:val="0"/>
      <w:marTop w:val="0"/>
      <w:marBottom w:val="0"/>
      <w:divBdr>
        <w:top w:val="none" w:sz="0" w:space="0" w:color="auto"/>
        <w:left w:val="none" w:sz="0" w:space="0" w:color="auto"/>
        <w:bottom w:val="none" w:sz="0" w:space="0" w:color="auto"/>
        <w:right w:val="none" w:sz="0" w:space="0" w:color="auto"/>
      </w:divBdr>
    </w:div>
    <w:div w:id="293994612">
      <w:bodyDiv w:val="1"/>
      <w:marLeft w:val="0"/>
      <w:marRight w:val="0"/>
      <w:marTop w:val="0"/>
      <w:marBottom w:val="0"/>
      <w:divBdr>
        <w:top w:val="none" w:sz="0" w:space="0" w:color="auto"/>
        <w:left w:val="none" w:sz="0" w:space="0" w:color="auto"/>
        <w:bottom w:val="none" w:sz="0" w:space="0" w:color="auto"/>
        <w:right w:val="none" w:sz="0" w:space="0" w:color="auto"/>
      </w:divBdr>
    </w:div>
    <w:div w:id="340425910">
      <w:bodyDiv w:val="1"/>
      <w:marLeft w:val="0"/>
      <w:marRight w:val="0"/>
      <w:marTop w:val="0"/>
      <w:marBottom w:val="0"/>
      <w:divBdr>
        <w:top w:val="none" w:sz="0" w:space="0" w:color="auto"/>
        <w:left w:val="none" w:sz="0" w:space="0" w:color="auto"/>
        <w:bottom w:val="none" w:sz="0" w:space="0" w:color="auto"/>
        <w:right w:val="none" w:sz="0" w:space="0" w:color="auto"/>
      </w:divBdr>
    </w:div>
    <w:div w:id="360134529">
      <w:bodyDiv w:val="1"/>
      <w:marLeft w:val="0"/>
      <w:marRight w:val="0"/>
      <w:marTop w:val="0"/>
      <w:marBottom w:val="0"/>
      <w:divBdr>
        <w:top w:val="none" w:sz="0" w:space="0" w:color="auto"/>
        <w:left w:val="none" w:sz="0" w:space="0" w:color="auto"/>
        <w:bottom w:val="none" w:sz="0" w:space="0" w:color="auto"/>
        <w:right w:val="none" w:sz="0" w:space="0" w:color="auto"/>
      </w:divBdr>
    </w:div>
    <w:div w:id="361055557">
      <w:bodyDiv w:val="1"/>
      <w:marLeft w:val="0"/>
      <w:marRight w:val="0"/>
      <w:marTop w:val="0"/>
      <w:marBottom w:val="0"/>
      <w:divBdr>
        <w:top w:val="none" w:sz="0" w:space="0" w:color="auto"/>
        <w:left w:val="none" w:sz="0" w:space="0" w:color="auto"/>
        <w:bottom w:val="none" w:sz="0" w:space="0" w:color="auto"/>
        <w:right w:val="none" w:sz="0" w:space="0" w:color="auto"/>
      </w:divBdr>
    </w:div>
    <w:div w:id="446894445">
      <w:bodyDiv w:val="1"/>
      <w:marLeft w:val="0"/>
      <w:marRight w:val="0"/>
      <w:marTop w:val="0"/>
      <w:marBottom w:val="0"/>
      <w:divBdr>
        <w:top w:val="none" w:sz="0" w:space="0" w:color="auto"/>
        <w:left w:val="none" w:sz="0" w:space="0" w:color="auto"/>
        <w:bottom w:val="none" w:sz="0" w:space="0" w:color="auto"/>
        <w:right w:val="none" w:sz="0" w:space="0" w:color="auto"/>
      </w:divBdr>
    </w:div>
    <w:div w:id="480392900">
      <w:bodyDiv w:val="1"/>
      <w:marLeft w:val="0"/>
      <w:marRight w:val="0"/>
      <w:marTop w:val="0"/>
      <w:marBottom w:val="0"/>
      <w:divBdr>
        <w:top w:val="none" w:sz="0" w:space="0" w:color="auto"/>
        <w:left w:val="none" w:sz="0" w:space="0" w:color="auto"/>
        <w:bottom w:val="none" w:sz="0" w:space="0" w:color="auto"/>
        <w:right w:val="none" w:sz="0" w:space="0" w:color="auto"/>
      </w:divBdr>
    </w:div>
    <w:div w:id="541282388">
      <w:bodyDiv w:val="1"/>
      <w:marLeft w:val="0"/>
      <w:marRight w:val="0"/>
      <w:marTop w:val="0"/>
      <w:marBottom w:val="0"/>
      <w:divBdr>
        <w:top w:val="none" w:sz="0" w:space="0" w:color="auto"/>
        <w:left w:val="none" w:sz="0" w:space="0" w:color="auto"/>
        <w:bottom w:val="none" w:sz="0" w:space="0" w:color="auto"/>
        <w:right w:val="none" w:sz="0" w:space="0" w:color="auto"/>
      </w:divBdr>
    </w:div>
    <w:div w:id="608195374">
      <w:bodyDiv w:val="1"/>
      <w:marLeft w:val="0"/>
      <w:marRight w:val="0"/>
      <w:marTop w:val="0"/>
      <w:marBottom w:val="0"/>
      <w:divBdr>
        <w:top w:val="none" w:sz="0" w:space="0" w:color="auto"/>
        <w:left w:val="none" w:sz="0" w:space="0" w:color="auto"/>
        <w:bottom w:val="none" w:sz="0" w:space="0" w:color="auto"/>
        <w:right w:val="none" w:sz="0" w:space="0" w:color="auto"/>
      </w:divBdr>
    </w:div>
    <w:div w:id="690691961">
      <w:bodyDiv w:val="1"/>
      <w:marLeft w:val="0"/>
      <w:marRight w:val="0"/>
      <w:marTop w:val="0"/>
      <w:marBottom w:val="0"/>
      <w:divBdr>
        <w:top w:val="none" w:sz="0" w:space="0" w:color="auto"/>
        <w:left w:val="none" w:sz="0" w:space="0" w:color="auto"/>
        <w:bottom w:val="none" w:sz="0" w:space="0" w:color="auto"/>
        <w:right w:val="none" w:sz="0" w:space="0" w:color="auto"/>
      </w:divBdr>
    </w:div>
    <w:div w:id="823275260">
      <w:bodyDiv w:val="1"/>
      <w:marLeft w:val="0"/>
      <w:marRight w:val="0"/>
      <w:marTop w:val="0"/>
      <w:marBottom w:val="0"/>
      <w:divBdr>
        <w:top w:val="none" w:sz="0" w:space="0" w:color="auto"/>
        <w:left w:val="none" w:sz="0" w:space="0" w:color="auto"/>
        <w:bottom w:val="none" w:sz="0" w:space="0" w:color="auto"/>
        <w:right w:val="none" w:sz="0" w:space="0" w:color="auto"/>
      </w:divBdr>
    </w:div>
    <w:div w:id="926035897">
      <w:bodyDiv w:val="1"/>
      <w:marLeft w:val="0"/>
      <w:marRight w:val="0"/>
      <w:marTop w:val="0"/>
      <w:marBottom w:val="0"/>
      <w:divBdr>
        <w:top w:val="none" w:sz="0" w:space="0" w:color="auto"/>
        <w:left w:val="none" w:sz="0" w:space="0" w:color="auto"/>
        <w:bottom w:val="none" w:sz="0" w:space="0" w:color="auto"/>
        <w:right w:val="none" w:sz="0" w:space="0" w:color="auto"/>
      </w:divBdr>
    </w:div>
    <w:div w:id="991760425">
      <w:bodyDiv w:val="1"/>
      <w:marLeft w:val="0"/>
      <w:marRight w:val="0"/>
      <w:marTop w:val="0"/>
      <w:marBottom w:val="0"/>
      <w:divBdr>
        <w:top w:val="none" w:sz="0" w:space="0" w:color="auto"/>
        <w:left w:val="none" w:sz="0" w:space="0" w:color="auto"/>
        <w:bottom w:val="none" w:sz="0" w:space="0" w:color="auto"/>
        <w:right w:val="none" w:sz="0" w:space="0" w:color="auto"/>
      </w:divBdr>
    </w:div>
    <w:div w:id="1031540760">
      <w:bodyDiv w:val="1"/>
      <w:marLeft w:val="0"/>
      <w:marRight w:val="0"/>
      <w:marTop w:val="0"/>
      <w:marBottom w:val="0"/>
      <w:divBdr>
        <w:top w:val="none" w:sz="0" w:space="0" w:color="auto"/>
        <w:left w:val="none" w:sz="0" w:space="0" w:color="auto"/>
        <w:bottom w:val="none" w:sz="0" w:space="0" w:color="auto"/>
        <w:right w:val="none" w:sz="0" w:space="0" w:color="auto"/>
      </w:divBdr>
    </w:div>
    <w:div w:id="1041134015">
      <w:bodyDiv w:val="1"/>
      <w:marLeft w:val="0"/>
      <w:marRight w:val="0"/>
      <w:marTop w:val="0"/>
      <w:marBottom w:val="0"/>
      <w:divBdr>
        <w:top w:val="none" w:sz="0" w:space="0" w:color="auto"/>
        <w:left w:val="none" w:sz="0" w:space="0" w:color="auto"/>
        <w:bottom w:val="none" w:sz="0" w:space="0" w:color="auto"/>
        <w:right w:val="none" w:sz="0" w:space="0" w:color="auto"/>
      </w:divBdr>
    </w:div>
    <w:div w:id="1130826484">
      <w:bodyDiv w:val="1"/>
      <w:marLeft w:val="0"/>
      <w:marRight w:val="0"/>
      <w:marTop w:val="0"/>
      <w:marBottom w:val="0"/>
      <w:divBdr>
        <w:top w:val="none" w:sz="0" w:space="0" w:color="auto"/>
        <w:left w:val="none" w:sz="0" w:space="0" w:color="auto"/>
        <w:bottom w:val="none" w:sz="0" w:space="0" w:color="auto"/>
        <w:right w:val="none" w:sz="0" w:space="0" w:color="auto"/>
      </w:divBdr>
    </w:div>
    <w:div w:id="1193612757">
      <w:bodyDiv w:val="1"/>
      <w:marLeft w:val="0"/>
      <w:marRight w:val="0"/>
      <w:marTop w:val="0"/>
      <w:marBottom w:val="0"/>
      <w:divBdr>
        <w:top w:val="none" w:sz="0" w:space="0" w:color="auto"/>
        <w:left w:val="none" w:sz="0" w:space="0" w:color="auto"/>
        <w:bottom w:val="none" w:sz="0" w:space="0" w:color="auto"/>
        <w:right w:val="none" w:sz="0" w:space="0" w:color="auto"/>
      </w:divBdr>
    </w:div>
    <w:div w:id="1583837340">
      <w:bodyDiv w:val="1"/>
      <w:marLeft w:val="0"/>
      <w:marRight w:val="0"/>
      <w:marTop w:val="0"/>
      <w:marBottom w:val="0"/>
      <w:divBdr>
        <w:top w:val="none" w:sz="0" w:space="0" w:color="auto"/>
        <w:left w:val="none" w:sz="0" w:space="0" w:color="auto"/>
        <w:bottom w:val="none" w:sz="0" w:space="0" w:color="auto"/>
        <w:right w:val="none" w:sz="0" w:space="0" w:color="auto"/>
      </w:divBdr>
    </w:div>
    <w:div w:id="1690837588">
      <w:bodyDiv w:val="1"/>
      <w:marLeft w:val="0"/>
      <w:marRight w:val="0"/>
      <w:marTop w:val="0"/>
      <w:marBottom w:val="0"/>
      <w:divBdr>
        <w:top w:val="none" w:sz="0" w:space="0" w:color="auto"/>
        <w:left w:val="none" w:sz="0" w:space="0" w:color="auto"/>
        <w:bottom w:val="none" w:sz="0" w:space="0" w:color="auto"/>
        <w:right w:val="none" w:sz="0" w:space="0" w:color="auto"/>
      </w:divBdr>
    </w:div>
    <w:div w:id="1765374934">
      <w:bodyDiv w:val="1"/>
      <w:marLeft w:val="0"/>
      <w:marRight w:val="0"/>
      <w:marTop w:val="0"/>
      <w:marBottom w:val="0"/>
      <w:divBdr>
        <w:top w:val="none" w:sz="0" w:space="0" w:color="auto"/>
        <w:left w:val="none" w:sz="0" w:space="0" w:color="auto"/>
        <w:bottom w:val="none" w:sz="0" w:space="0" w:color="auto"/>
        <w:right w:val="none" w:sz="0" w:space="0" w:color="auto"/>
      </w:divBdr>
    </w:div>
    <w:div w:id="1777290470">
      <w:bodyDiv w:val="1"/>
      <w:marLeft w:val="0"/>
      <w:marRight w:val="0"/>
      <w:marTop w:val="0"/>
      <w:marBottom w:val="0"/>
      <w:divBdr>
        <w:top w:val="none" w:sz="0" w:space="0" w:color="auto"/>
        <w:left w:val="none" w:sz="0" w:space="0" w:color="auto"/>
        <w:bottom w:val="none" w:sz="0" w:space="0" w:color="auto"/>
        <w:right w:val="none" w:sz="0" w:space="0" w:color="auto"/>
      </w:divBdr>
    </w:div>
    <w:div w:id="1798835109">
      <w:bodyDiv w:val="1"/>
      <w:marLeft w:val="0"/>
      <w:marRight w:val="0"/>
      <w:marTop w:val="0"/>
      <w:marBottom w:val="0"/>
      <w:divBdr>
        <w:top w:val="none" w:sz="0" w:space="0" w:color="auto"/>
        <w:left w:val="none" w:sz="0" w:space="0" w:color="auto"/>
        <w:bottom w:val="none" w:sz="0" w:space="0" w:color="auto"/>
        <w:right w:val="none" w:sz="0" w:space="0" w:color="auto"/>
      </w:divBdr>
    </w:div>
    <w:div w:id="1801221832">
      <w:bodyDiv w:val="1"/>
      <w:marLeft w:val="0"/>
      <w:marRight w:val="0"/>
      <w:marTop w:val="0"/>
      <w:marBottom w:val="0"/>
      <w:divBdr>
        <w:top w:val="none" w:sz="0" w:space="0" w:color="auto"/>
        <w:left w:val="none" w:sz="0" w:space="0" w:color="auto"/>
        <w:bottom w:val="none" w:sz="0" w:space="0" w:color="auto"/>
        <w:right w:val="none" w:sz="0" w:space="0" w:color="auto"/>
      </w:divBdr>
    </w:div>
    <w:div w:id="1806269035">
      <w:bodyDiv w:val="1"/>
      <w:marLeft w:val="0"/>
      <w:marRight w:val="0"/>
      <w:marTop w:val="0"/>
      <w:marBottom w:val="0"/>
      <w:divBdr>
        <w:top w:val="none" w:sz="0" w:space="0" w:color="auto"/>
        <w:left w:val="none" w:sz="0" w:space="0" w:color="auto"/>
        <w:bottom w:val="none" w:sz="0" w:space="0" w:color="auto"/>
        <w:right w:val="none" w:sz="0" w:space="0" w:color="auto"/>
      </w:divBdr>
    </w:div>
    <w:div w:id="1825662723">
      <w:bodyDiv w:val="1"/>
      <w:marLeft w:val="0"/>
      <w:marRight w:val="0"/>
      <w:marTop w:val="0"/>
      <w:marBottom w:val="0"/>
      <w:divBdr>
        <w:top w:val="none" w:sz="0" w:space="0" w:color="auto"/>
        <w:left w:val="none" w:sz="0" w:space="0" w:color="auto"/>
        <w:bottom w:val="none" w:sz="0" w:space="0" w:color="auto"/>
        <w:right w:val="none" w:sz="0" w:space="0" w:color="auto"/>
      </w:divBdr>
    </w:div>
    <w:div w:id="1868905962">
      <w:bodyDiv w:val="1"/>
      <w:marLeft w:val="0"/>
      <w:marRight w:val="0"/>
      <w:marTop w:val="0"/>
      <w:marBottom w:val="0"/>
      <w:divBdr>
        <w:top w:val="none" w:sz="0" w:space="0" w:color="auto"/>
        <w:left w:val="none" w:sz="0" w:space="0" w:color="auto"/>
        <w:bottom w:val="none" w:sz="0" w:space="0" w:color="auto"/>
        <w:right w:val="none" w:sz="0" w:space="0" w:color="auto"/>
      </w:divBdr>
    </w:div>
    <w:div w:id="1871137541">
      <w:bodyDiv w:val="1"/>
      <w:marLeft w:val="0"/>
      <w:marRight w:val="0"/>
      <w:marTop w:val="0"/>
      <w:marBottom w:val="0"/>
      <w:divBdr>
        <w:top w:val="none" w:sz="0" w:space="0" w:color="auto"/>
        <w:left w:val="none" w:sz="0" w:space="0" w:color="auto"/>
        <w:bottom w:val="none" w:sz="0" w:space="0" w:color="auto"/>
        <w:right w:val="none" w:sz="0" w:space="0" w:color="auto"/>
      </w:divBdr>
    </w:div>
    <w:div w:id="2018847853">
      <w:bodyDiv w:val="1"/>
      <w:marLeft w:val="0"/>
      <w:marRight w:val="0"/>
      <w:marTop w:val="0"/>
      <w:marBottom w:val="0"/>
      <w:divBdr>
        <w:top w:val="none" w:sz="0" w:space="0" w:color="auto"/>
        <w:left w:val="none" w:sz="0" w:space="0" w:color="auto"/>
        <w:bottom w:val="none" w:sz="0" w:space="0" w:color="auto"/>
        <w:right w:val="none" w:sz="0" w:space="0" w:color="auto"/>
      </w:divBdr>
    </w:div>
    <w:div w:id="213386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ab.org.uk"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nationalcrimeagency.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warner@oxford.gov.uk" TargetMode="External"/><Relationship Id="rId5" Type="http://schemas.openxmlformats.org/officeDocument/2006/relationships/settings" Target="settings.xml"/><Relationship Id="rId15" Type="http://schemas.openxmlformats.org/officeDocument/2006/relationships/hyperlink" Target="https://www.nationalcrimeagency.gov.uk/what-we-do/crime-threats/money-laundering-and-illicit-finance/suspicious-activity-reports" TargetMode="External"/><Relationship Id="rId10" Type="http://schemas.openxmlformats.org/officeDocument/2006/relationships/hyperlink" Target="mailto:nkennedy@oxford.gov.u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lawsociety.org.uk/support-services/risk-compliance/anti-money-launde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E37B5E-F73A-4449-9958-808D2AF78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19</Pages>
  <Words>4539</Words>
  <Characters>25873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30352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rwoollcott</dc:creator>
  <cp:lastModifiedBy>CARMODY-BROWN Hannah</cp:lastModifiedBy>
  <cp:revision>35</cp:revision>
  <cp:lastPrinted>2018-07-24T09:14:00Z</cp:lastPrinted>
  <dcterms:created xsi:type="dcterms:W3CDTF">2024-10-10T08:41:00Z</dcterms:created>
  <dcterms:modified xsi:type="dcterms:W3CDTF">2025-01-07T09:26:00Z</dcterms:modified>
</cp:coreProperties>
</file>